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F1E04E" w14:textId="24108C4F" w:rsidR="00CE2BBA" w:rsidRDefault="00CE2BBA" w:rsidP="00DC675C">
      <w:pPr>
        <w:spacing w:line="240" w:lineRule="auto"/>
        <w:jc w:val="center"/>
        <w:rPr>
          <w:b/>
          <w:sz w:val="44"/>
          <w:szCs w:val="44"/>
        </w:rPr>
      </w:pPr>
      <w:r w:rsidRPr="00CE2BBA">
        <w:rPr>
          <w:b/>
          <w:sz w:val="44"/>
          <w:szCs w:val="44"/>
        </w:rPr>
        <w:t>Maturitní zkouška ve školním roce 2021/2</w:t>
      </w:r>
      <w:r w:rsidR="00A06885">
        <w:rPr>
          <w:b/>
          <w:sz w:val="44"/>
          <w:szCs w:val="44"/>
        </w:rPr>
        <w:t>02</w:t>
      </w:r>
      <w:r w:rsidRPr="00CE2BBA">
        <w:rPr>
          <w:b/>
          <w:sz w:val="44"/>
          <w:szCs w:val="44"/>
        </w:rPr>
        <w:t>2</w:t>
      </w:r>
    </w:p>
    <w:p w14:paraId="29E36FC4" w14:textId="31B7C281" w:rsidR="00740875" w:rsidRPr="00F177CF" w:rsidRDefault="00740875" w:rsidP="00DC675C">
      <w:pPr>
        <w:spacing w:line="240" w:lineRule="auto"/>
        <w:jc w:val="center"/>
        <w:rPr>
          <w:bCs/>
          <w:sz w:val="28"/>
          <w:szCs w:val="28"/>
        </w:rPr>
      </w:pPr>
      <w:r w:rsidRPr="00F177CF">
        <w:rPr>
          <w:bCs/>
          <w:sz w:val="28"/>
          <w:szCs w:val="28"/>
        </w:rPr>
        <w:t>(metodická pomůcka)</w:t>
      </w:r>
    </w:p>
    <w:p w14:paraId="2E18758F" w14:textId="77777777" w:rsidR="006438C4" w:rsidRDefault="006438C4" w:rsidP="00DC675C">
      <w:pPr>
        <w:spacing w:line="240" w:lineRule="auto"/>
      </w:pPr>
    </w:p>
    <w:p w14:paraId="34F1E04F" w14:textId="4485BC1D" w:rsidR="00CE2BBA" w:rsidRDefault="00CE2BBA" w:rsidP="00DC675C">
      <w:pPr>
        <w:spacing w:line="240" w:lineRule="auto"/>
      </w:pPr>
      <w:r>
        <w:t>Vážená paní ředitelko, vážený pane řediteli,</w:t>
      </w:r>
    </w:p>
    <w:p w14:paraId="598E6FE9" w14:textId="77777777" w:rsidR="006438C4" w:rsidRDefault="006438C4" w:rsidP="00DC675C">
      <w:pPr>
        <w:spacing w:line="240" w:lineRule="auto"/>
      </w:pPr>
    </w:p>
    <w:p w14:paraId="482FC31E" w14:textId="3C93F628" w:rsidR="00AB0FDF" w:rsidRPr="00AB0FDF" w:rsidRDefault="00AB0FDF" w:rsidP="00DC675C">
      <w:pPr>
        <w:spacing w:line="240" w:lineRule="auto"/>
        <w:jc w:val="both"/>
        <w:rPr>
          <w:bCs/>
        </w:rPr>
      </w:pPr>
      <w:r>
        <w:rPr>
          <w:bCs/>
        </w:rPr>
        <w:t xml:space="preserve">dovolujeme </w:t>
      </w:r>
      <w:r w:rsidR="00256695">
        <w:rPr>
          <w:bCs/>
        </w:rPr>
        <w:t xml:space="preserve">si Vám touto cestou předat vybrané </w:t>
      </w:r>
      <w:r w:rsidR="00F4439F">
        <w:rPr>
          <w:bCs/>
        </w:rPr>
        <w:t>praktické poznámky</w:t>
      </w:r>
      <w:r w:rsidR="000B15E7">
        <w:rPr>
          <w:bCs/>
        </w:rPr>
        <w:t xml:space="preserve"> </w:t>
      </w:r>
      <w:r w:rsidR="00256695">
        <w:rPr>
          <w:bCs/>
        </w:rPr>
        <w:t xml:space="preserve">vztahující se </w:t>
      </w:r>
      <w:r w:rsidR="007177FE">
        <w:rPr>
          <w:bCs/>
        </w:rPr>
        <w:t>ke způsobu a kritériím hodnocení maturitních zkoušek</w:t>
      </w:r>
      <w:r w:rsidR="00B941D9">
        <w:rPr>
          <w:bCs/>
        </w:rPr>
        <w:t xml:space="preserve">. </w:t>
      </w:r>
      <w:r w:rsidR="000F1657" w:rsidRPr="000F1657">
        <w:rPr>
          <w:bCs/>
        </w:rPr>
        <w:t xml:space="preserve">Cílem je seznámit </w:t>
      </w:r>
      <w:r w:rsidR="00A1371A" w:rsidRPr="000F1657">
        <w:rPr>
          <w:bCs/>
        </w:rPr>
        <w:t xml:space="preserve">Vás </w:t>
      </w:r>
      <w:r w:rsidR="000F1657" w:rsidRPr="000F1657">
        <w:rPr>
          <w:bCs/>
        </w:rPr>
        <w:t xml:space="preserve">se základními požadavky na nastavení způsobu a kritérií hodnocení, na administrativní zpracování a doklady, jejichž nedodržení může mít za následek rozhodnutí </w:t>
      </w:r>
      <w:r w:rsidR="000F1657" w:rsidRPr="000F1657">
        <w:t>o zrušení výsledku dané zkoušky a nařízení jejího opakování či změně jejího výsledku.</w:t>
      </w:r>
      <w:r w:rsidR="000F1657">
        <w:t xml:space="preserve"> </w:t>
      </w:r>
      <w:r w:rsidR="00EA6773">
        <w:t xml:space="preserve">Při zpracování tohoto materiálu jsme vycházeli z dosavadní praxe </w:t>
      </w:r>
      <w:r w:rsidR="00BD0E52">
        <w:t xml:space="preserve">při přezkoumávání průběhu a výsledku maturitní zkoušky a </w:t>
      </w:r>
      <w:r w:rsidR="00A1371A">
        <w:t xml:space="preserve">ze </w:t>
      </w:r>
      <w:r w:rsidR="009B5154">
        <w:t>soudních rozhodnutí týkajících se dané problematiky.</w:t>
      </w:r>
    </w:p>
    <w:p w14:paraId="34F1E054" w14:textId="4682AB59" w:rsidR="000847CC" w:rsidRPr="00821AEF" w:rsidRDefault="000847CC" w:rsidP="00DC675C">
      <w:pPr>
        <w:spacing w:line="240" w:lineRule="auto"/>
        <w:jc w:val="both"/>
        <w:rPr>
          <w:sz w:val="24"/>
          <w:szCs w:val="24"/>
        </w:rPr>
      </w:pPr>
      <w:r w:rsidRPr="00821AEF">
        <w:rPr>
          <w:b/>
          <w:sz w:val="24"/>
          <w:szCs w:val="24"/>
        </w:rPr>
        <w:t>Základní právní úprava:</w:t>
      </w:r>
      <w:r w:rsidRPr="00821AEF">
        <w:rPr>
          <w:sz w:val="24"/>
          <w:szCs w:val="24"/>
        </w:rPr>
        <w:t xml:space="preserve"> </w:t>
      </w:r>
    </w:p>
    <w:p w14:paraId="34F1E055" w14:textId="69EEE243" w:rsidR="000847CC" w:rsidRDefault="000847CC" w:rsidP="00DC675C">
      <w:pPr>
        <w:pStyle w:val="Bezmezer"/>
        <w:numPr>
          <w:ilvl w:val="0"/>
          <w:numId w:val="8"/>
        </w:numPr>
        <w:spacing w:after="200"/>
        <w:jc w:val="both"/>
      </w:pPr>
      <w:r>
        <w:t>zákon č. 561/2004 Sb., o předškolním, základním, středním, vyšším odborném a jiném vzdělávání (školský zákon), ve znění pozdějších předpisů (dále jen „školský zákon“),</w:t>
      </w:r>
    </w:p>
    <w:p w14:paraId="34F1E056" w14:textId="2FA23DC0" w:rsidR="00616820" w:rsidRDefault="00616820" w:rsidP="00DC675C">
      <w:pPr>
        <w:pStyle w:val="Bezmezer"/>
        <w:numPr>
          <w:ilvl w:val="0"/>
          <w:numId w:val="8"/>
        </w:numPr>
        <w:spacing w:after="200"/>
        <w:jc w:val="both"/>
      </w:pPr>
      <w:r>
        <w:t>vyhláška č. 177/2009 Sb., o bližších podmínkách ukončování vzdělávání ve středních školách maturitní zkouškou, ve znění pozdějších předpisů</w:t>
      </w:r>
      <w:r w:rsidR="00AC0F7A">
        <w:t xml:space="preserve"> (dále jen „vyhláška č. 177/2009</w:t>
      </w:r>
      <w:r w:rsidR="006062EE">
        <w:t xml:space="preserve"> </w:t>
      </w:r>
      <w:r w:rsidR="00AC0F7A">
        <w:t>Sb.“)</w:t>
      </w:r>
      <w:r>
        <w:t>,</w:t>
      </w:r>
    </w:p>
    <w:p w14:paraId="34F1E058" w14:textId="75828B2D" w:rsidR="00616820" w:rsidRDefault="00616820" w:rsidP="00DC675C">
      <w:pPr>
        <w:pStyle w:val="Bezmezer"/>
        <w:numPr>
          <w:ilvl w:val="0"/>
          <w:numId w:val="8"/>
        </w:numPr>
        <w:spacing w:after="200"/>
        <w:jc w:val="both"/>
      </w:pPr>
      <w:r>
        <w:t>metodické doporučení MŠMT 13 009/2011-23 pro zabezpečení maturitní zkoušky žáků s přiznaným uzpůsobením podmínek pro konání maturitní zkoušky</w:t>
      </w:r>
      <w:r w:rsidR="00382C69">
        <w:t>.</w:t>
      </w:r>
    </w:p>
    <w:p w14:paraId="352F13A5" w14:textId="77777777" w:rsidR="0086035C" w:rsidRDefault="0086035C" w:rsidP="00DC675C">
      <w:pPr>
        <w:spacing w:line="240" w:lineRule="auto"/>
        <w:jc w:val="both"/>
        <w:rPr>
          <w:b/>
          <w:bCs/>
        </w:rPr>
      </w:pPr>
    </w:p>
    <w:p w14:paraId="34F1E059" w14:textId="2C74A51D" w:rsidR="00AF5985" w:rsidRPr="00FF6400" w:rsidRDefault="00873DC1" w:rsidP="00DC675C">
      <w:pPr>
        <w:spacing w:line="240" w:lineRule="auto"/>
        <w:jc w:val="both"/>
        <w:rPr>
          <w:b/>
          <w:sz w:val="24"/>
          <w:szCs w:val="24"/>
        </w:rPr>
      </w:pPr>
      <w:r w:rsidRPr="00FF6400">
        <w:rPr>
          <w:b/>
          <w:sz w:val="24"/>
          <w:szCs w:val="24"/>
        </w:rPr>
        <w:t xml:space="preserve">Zkušební </w:t>
      </w:r>
      <w:r w:rsidR="0041040C" w:rsidRPr="00FF6400">
        <w:rPr>
          <w:b/>
          <w:sz w:val="24"/>
          <w:szCs w:val="24"/>
        </w:rPr>
        <w:t>m</w:t>
      </w:r>
      <w:r w:rsidR="00AF5985" w:rsidRPr="00FF6400">
        <w:rPr>
          <w:b/>
          <w:sz w:val="24"/>
          <w:szCs w:val="24"/>
        </w:rPr>
        <w:t>aturitní komise</w:t>
      </w:r>
    </w:p>
    <w:p w14:paraId="34F1E05A" w14:textId="6BC1A2C3" w:rsidR="00616820" w:rsidRDefault="00616820" w:rsidP="00DC675C">
      <w:pPr>
        <w:spacing w:line="240" w:lineRule="auto"/>
        <w:jc w:val="both"/>
      </w:pPr>
      <w:r w:rsidRPr="00616820">
        <w:t xml:space="preserve">Podle ustanovení § 80a školského zákona je zkušební maturitní komise jmenována pro každou třídu a obor vzdělání nebo pro více tříd nebo více oborů vzdělání, pokud se žáci vzdělávají ve stejné skupině </w:t>
      </w:r>
      <w:r w:rsidR="00D4026A" w:rsidRPr="00616820">
        <w:t>obor</w:t>
      </w:r>
      <w:r w:rsidR="00D4026A">
        <w:t>ů</w:t>
      </w:r>
      <w:r w:rsidR="00D4026A" w:rsidRPr="00616820">
        <w:t xml:space="preserve"> </w:t>
      </w:r>
      <w:r w:rsidRPr="00616820">
        <w:t>vzdělání.</w:t>
      </w:r>
      <w:r w:rsidR="00AC0F7A">
        <w:t xml:space="preserve"> </w:t>
      </w:r>
      <w:r w:rsidR="001B78B0">
        <w:t>Členy z</w:t>
      </w:r>
      <w:r w:rsidR="00AC0F7A">
        <w:t xml:space="preserve">kušební maturitní </w:t>
      </w:r>
      <w:r w:rsidR="007369E0">
        <w:t>komise</w:t>
      </w:r>
      <w:r w:rsidR="00D77615">
        <w:t>,</w:t>
      </w:r>
      <w:r w:rsidR="00AC0F7A">
        <w:t xml:space="preserve"> vyjma předsedy</w:t>
      </w:r>
      <w:r w:rsidR="00D77615">
        <w:t>,</w:t>
      </w:r>
      <w:r w:rsidR="00AC0F7A">
        <w:t xml:space="preserve"> jmenuje ředitel školy. </w:t>
      </w:r>
      <w:r w:rsidR="001B78B0">
        <w:t>Jmenování členů zkušební maturitní komise</w:t>
      </w:r>
      <w:r w:rsidR="00AC0F7A">
        <w:t xml:space="preserve"> je třeba mít doloženo v písemné podobě.</w:t>
      </w:r>
    </w:p>
    <w:p w14:paraId="282662DF" w14:textId="77777777" w:rsidR="000D6FCC" w:rsidRDefault="000D6FCC" w:rsidP="00DC675C">
      <w:pPr>
        <w:spacing w:line="240" w:lineRule="auto"/>
        <w:jc w:val="both"/>
        <w:rPr>
          <w:b/>
          <w:bCs/>
          <w:sz w:val="24"/>
          <w:szCs w:val="24"/>
        </w:rPr>
      </w:pPr>
    </w:p>
    <w:p w14:paraId="60A1761F" w14:textId="332EDECE" w:rsidR="00EF6C9E" w:rsidRPr="00FF6400" w:rsidRDefault="00EF6C9E" w:rsidP="00DC675C">
      <w:pPr>
        <w:spacing w:line="240" w:lineRule="auto"/>
        <w:jc w:val="both"/>
        <w:rPr>
          <w:b/>
          <w:bCs/>
          <w:sz w:val="24"/>
          <w:szCs w:val="24"/>
        </w:rPr>
      </w:pPr>
      <w:r w:rsidRPr="00FF6400">
        <w:rPr>
          <w:b/>
          <w:bCs/>
          <w:sz w:val="24"/>
          <w:szCs w:val="24"/>
        </w:rPr>
        <w:t>Témata, otázky</w:t>
      </w:r>
    </w:p>
    <w:p w14:paraId="2D52592A" w14:textId="7E8E0926" w:rsidR="00F71A7C" w:rsidRDefault="005F3EA2" w:rsidP="00DC675C">
      <w:pPr>
        <w:spacing w:line="240" w:lineRule="auto"/>
        <w:jc w:val="both"/>
      </w:pPr>
      <w:r>
        <w:t xml:space="preserve">V ustanovení </w:t>
      </w:r>
      <w:r w:rsidR="009777FC" w:rsidRPr="009777FC">
        <w:t>§ 1</w:t>
      </w:r>
      <w:r w:rsidR="00981DB0">
        <w:t>6</w:t>
      </w:r>
      <w:r w:rsidR="006656BE">
        <w:t xml:space="preserve"> odst.</w:t>
      </w:r>
      <w:r w:rsidR="00E947FE">
        <w:t xml:space="preserve"> </w:t>
      </w:r>
      <w:r w:rsidR="009777FC" w:rsidRPr="009777FC">
        <w:t>1 vyhlášky</w:t>
      </w:r>
      <w:r w:rsidR="006062EE">
        <w:t xml:space="preserve"> č.</w:t>
      </w:r>
      <w:r w:rsidR="003A00C3">
        <w:t> </w:t>
      </w:r>
      <w:r w:rsidR="006062EE">
        <w:t>177/2009 Sb.</w:t>
      </w:r>
      <w:r>
        <w:t xml:space="preserve"> je uvedeno:</w:t>
      </w:r>
      <w:r w:rsidR="00E07055">
        <w:t xml:space="preserve"> </w:t>
      </w:r>
      <w:r w:rsidR="00E07055" w:rsidRPr="00E07055">
        <w:rPr>
          <w:i/>
        </w:rPr>
        <w:t>„Ředitel školy pro každou zkoušku konanou ústní formou zveřejní 20 až 30 témat. Zveřejněná témata se zachovávají i pro opravnou zkoušku a náhradní zkoušku.“</w:t>
      </w:r>
      <w:r w:rsidR="00E07055">
        <w:rPr>
          <w:i/>
        </w:rPr>
        <w:t xml:space="preserve"> </w:t>
      </w:r>
      <w:r w:rsidR="00F71A7C">
        <w:t>Z výše uvedeného vyplývá:</w:t>
      </w:r>
    </w:p>
    <w:p w14:paraId="73176B12" w14:textId="0A8297A8" w:rsidR="0020551F" w:rsidRDefault="00D36D7C" w:rsidP="00DC675C">
      <w:pPr>
        <w:pStyle w:val="Odstavecseseznamem"/>
        <w:numPr>
          <w:ilvl w:val="0"/>
          <w:numId w:val="12"/>
        </w:numPr>
        <w:spacing w:line="240" w:lineRule="auto"/>
        <w:jc w:val="both"/>
      </w:pPr>
      <w:r>
        <w:t xml:space="preserve">témata musí být zveřejněna tak, aby byla </w:t>
      </w:r>
      <w:r w:rsidR="00BB603B">
        <w:t>přístupná komukoli „zvenčí“</w:t>
      </w:r>
      <w:r w:rsidR="00931807">
        <w:t xml:space="preserve">. </w:t>
      </w:r>
    </w:p>
    <w:p w14:paraId="7BEA1993" w14:textId="5525D468" w:rsidR="00E34A37" w:rsidRDefault="00931807" w:rsidP="00DC675C">
      <w:pPr>
        <w:spacing w:line="240" w:lineRule="auto"/>
        <w:ind w:firstLine="360"/>
        <w:jc w:val="both"/>
      </w:pPr>
      <w:r>
        <w:t>Příklad</w:t>
      </w:r>
      <w:r w:rsidR="007369E0">
        <w:t>y</w:t>
      </w:r>
      <w:r>
        <w:t xml:space="preserve"> z praxe:</w:t>
      </w:r>
    </w:p>
    <w:p w14:paraId="04F0D962" w14:textId="2A01EFD1" w:rsidR="007F2539" w:rsidRDefault="00931807" w:rsidP="00DC675C">
      <w:pPr>
        <w:pStyle w:val="Odstavecseseznamem"/>
        <w:numPr>
          <w:ilvl w:val="0"/>
          <w:numId w:val="10"/>
        </w:numPr>
        <w:spacing w:line="240" w:lineRule="auto"/>
        <w:jc w:val="both"/>
      </w:pPr>
      <w:r>
        <w:t xml:space="preserve">škola elektronicky zveřejnila témata </w:t>
      </w:r>
      <w:r w:rsidR="009777FC" w:rsidRPr="009777FC">
        <w:t xml:space="preserve">„zamčená“ </w:t>
      </w:r>
      <w:r w:rsidR="00F95030">
        <w:t xml:space="preserve">na </w:t>
      </w:r>
      <w:r w:rsidR="009777FC" w:rsidRPr="009777FC">
        <w:t>intranetu,</w:t>
      </w:r>
      <w:r w:rsidR="007D6665">
        <w:t xml:space="preserve"> do kterého nemají přístup například ti</w:t>
      </w:r>
      <w:r w:rsidR="0020551F">
        <w:t>,</w:t>
      </w:r>
      <w:r w:rsidR="007D6665">
        <w:t xml:space="preserve"> co konají opravnou zkoušku</w:t>
      </w:r>
      <w:r w:rsidR="00C94672">
        <w:t xml:space="preserve">, </w:t>
      </w:r>
      <w:r w:rsidR="00F93884">
        <w:t xml:space="preserve">protože </w:t>
      </w:r>
      <w:r w:rsidR="00C94672">
        <w:t>v danou dobu již nejsou žáky školy</w:t>
      </w:r>
      <w:r w:rsidR="00E34A37">
        <w:t>;</w:t>
      </w:r>
    </w:p>
    <w:p w14:paraId="28C89386" w14:textId="2E947BF7" w:rsidR="00E34A37" w:rsidRDefault="00E21FB7" w:rsidP="00DC675C">
      <w:pPr>
        <w:pStyle w:val="Odstavecseseznamem"/>
        <w:numPr>
          <w:ilvl w:val="0"/>
          <w:numId w:val="10"/>
        </w:numPr>
        <w:spacing w:line="240" w:lineRule="auto"/>
        <w:jc w:val="both"/>
      </w:pPr>
      <w:r>
        <w:t>ředitelem školy zveřejněná témata se neshodovala s tématy, která žáci losovali u zkoušky.</w:t>
      </w:r>
    </w:p>
    <w:p w14:paraId="116470B3" w14:textId="77777777" w:rsidR="00E11DAE" w:rsidRDefault="00E11DAE" w:rsidP="00DC675C">
      <w:pPr>
        <w:pStyle w:val="Odstavecseseznamem"/>
        <w:spacing w:line="240" w:lineRule="auto"/>
        <w:jc w:val="both"/>
      </w:pPr>
    </w:p>
    <w:p w14:paraId="68591044" w14:textId="6D079F8A" w:rsidR="0096779D" w:rsidRDefault="00584688" w:rsidP="00DC675C">
      <w:pPr>
        <w:pStyle w:val="Odstavecseseznamem"/>
        <w:numPr>
          <w:ilvl w:val="0"/>
          <w:numId w:val="13"/>
        </w:numPr>
        <w:spacing w:line="240" w:lineRule="auto"/>
        <w:jc w:val="both"/>
      </w:pPr>
      <w:r w:rsidRPr="00E11DAE">
        <w:rPr>
          <w:u w:val="single"/>
        </w:rPr>
        <w:t>Poznámka k o</w:t>
      </w:r>
      <w:r w:rsidR="007F2539" w:rsidRPr="00E11DAE">
        <w:rPr>
          <w:u w:val="single"/>
        </w:rPr>
        <w:t>bsah</w:t>
      </w:r>
      <w:r w:rsidRPr="00E11DAE">
        <w:rPr>
          <w:u w:val="single"/>
        </w:rPr>
        <w:t>u</w:t>
      </w:r>
      <w:r w:rsidR="007F2539" w:rsidRPr="00E11DAE">
        <w:rPr>
          <w:u w:val="single"/>
        </w:rPr>
        <w:t xml:space="preserve"> témat:</w:t>
      </w:r>
      <w:r w:rsidR="007F2539" w:rsidRPr="0096779D">
        <w:t xml:space="preserve"> </w:t>
      </w:r>
      <w:r w:rsidR="00C3468C">
        <w:t>Nelze</w:t>
      </w:r>
      <w:r w:rsidR="007F2539">
        <w:t xml:space="preserve"> do </w:t>
      </w:r>
      <w:r w:rsidR="00B128FC">
        <w:t xml:space="preserve">jedné „otázky“ </w:t>
      </w:r>
      <w:r w:rsidR="00C3468C">
        <w:t xml:space="preserve">vložit </w:t>
      </w:r>
      <w:r w:rsidR="007F2539">
        <w:t xml:space="preserve">dvě </w:t>
      </w:r>
      <w:r w:rsidR="000C6641">
        <w:t xml:space="preserve">témata </w:t>
      </w:r>
      <w:r w:rsidR="007F2539">
        <w:t xml:space="preserve">nebo i víc. </w:t>
      </w:r>
    </w:p>
    <w:p w14:paraId="0BCDCCBC" w14:textId="0CEA152C" w:rsidR="007F2539" w:rsidRDefault="005366D7" w:rsidP="00DC675C">
      <w:pPr>
        <w:spacing w:line="240" w:lineRule="auto"/>
        <w:ind w:left="360"/>
        <w:jc w:val="both"/>
      </w:pPr>
      <w:r>
        <w:lastRenderedPageBreak/>
        <w:t>Například</w:t>
      </w:r>
      <w:r w:rsidR="00F20831">
        <w:t xml:space="preserve"> jedna </w:t>
      </w:r>
      <w:r w:rsidR="009737F7">
        <w:t>„</w:t>
      </w:r>
      <w:r w:rsidR="00B46826">
        <w:t>otázka</w:t>
      </w:r>
      <w:r w:rsidR="009737F7">
        <w:t>“</w:t>
      </w:r>
      <w:r w:rsidR="00B46826">
        <w:t xml:space="preserve"> – ČJ</w:t>
      </w:r>
      <w:r w:rsidR="007F2539">
        <w:t xml:space="preserve"> </w:t>
      </w:r>
      <w:r w:rsidR="009737F7">
        <w:t>obsahuje zadání „</w:t>
      </w:r>
      <w:r w:rsidR="007F2539" w:rsidRPr="00981DB0">
        <w:rPr>
          <w:i/>
          <w:iCs/>
        </w:rPr>
        <w:t>Česká literatura reagující na nebezpečí fašismu a na 2. světovou válku v kontextu literatury světové. Styl prostě sdělný a jeho útvary</w:t>
      </w:r>
      <w:r w:rsidR="007F2539">
        <w:t>.</w:t>
      </w:r>
      <w:r w:rsidR="009737F7">
        <w:t>“</w:t>
      </w:r>
      <w:r w:rsidR="00E17ED5">
        <w:t>.</w:t>
      </w:r>
      <w:r w:rsidR="0096779D">
        <w:t xml:space="preserve"> Nebo</w:t>
      </w:r>
      <w:r w:rsidR="007F2539">
        <w:t xml:space="preserve"> předmět </w:t>
      </w:r>
      <w:r w:rsidR="00E17ED5">
        <w:t xml:space="preserve">Počítače </w:t>
      </w:r>
      <w:r w:rsidR="007F2539">
        <w:t>a mikropočítače</w:t>
      </w:r>
      <w:r w:rsidR="0096779D">
        <w:t xml:space="preserve"> – jedna </w:t>
      </w:r>
      <w:r w:rsidR="00203FB5">
        <w:t>„</w:t>
      </w:r>
      <w:r w:rsidR="007F2539">
        <w:t>otázka</w:t>
      </w:r>
      <w:r w:rsidR="00203FB5">
        <w:t>“</w:t>
      </w:r>
      <w:r w:rsidR="00E17ED5">
        <w:t>:</w:t>
      </w:r>
      <w:r w:rsidR="007F2539">
        <w:t xml:space="preserve"> </w:t>
      </w:r>
      <w:r w:rsidR="00E17ED5">
        <w:t xml:space="preserve">„Číselné </w:t>
      </w:r>
      <w:r w:rsidR="007F2539">
        <w:t xml:space="preserve">soustavy, vyjádření čísla, základní pojmy, doplňky, matematické operace / </w:t>
      </w:r>
      <w:r w:rsidR="00B46826">
        <w:t>PC – zobrazovací</w:t>
      </w:r>
      <w:r w:rsidR="007F2539">
        <w:t xml:space="preserve"> jednotky</w:t>
      </w:r>
      <w:r w:rsidR="00292223">
        <w:t>“</w:t>
      </w:r>
      <w:r w:rsidR="007F2539">
        <w:t>.</w:t>
      </w:r>
    </w:p>
    <w:p w14:paraId="71340DC1" w14:textId="2759E5E4" w:rsidR="007F2539" w:rsidRDefault="00292223" w:rsidP="00DC675C">
      <w:pPr>
        <w:spacing w:line="240" w:lineRule="auto"/>
        <w:ind w:left="360"/>
      </w:pPr>
      <w:r>
        <w:t>V</w:t>
      </w:r>
      <w:r w:rsidR="007F2539">
        <w:t xml:space="preserve"> obou případech </w:t>
      </w:r>
      <w:r>
        <w:t>jsou v</w:t>
      </w:r>
      <w:r w:rsidR="00E32214">
        <w:t> </w:t>
      </w:r>
      <w:r w:rsidR="00203FB5">
        <w:t>“jedné otázce“</w:t>
      </w:r>
      <w:r w:rsidR="00E32214">
        <w:t xml:space="preserve"> </w:t>
      </w:r>
      <w:r w:rsidR="007F2539">
        <w:t>témata dvě</w:t>
      </w:r>
      <w:r w:rsidR="002E5CC2">
        <w:t xml:space="preserve">, což </w:t>
      </w:r>
      <w:r w:rsidR="00E32214">
        <w:t>neodpovídá vyhlášce č. 177/2009 Sb.</w:t>
      </w:r>
      <w:r w:rsidR="007F2539">
        <w:t xml:space="preserve"> </w:t>
      </w:r>
      <w:r w:rsidR="00E00850">
        <w:t xml:space="preserve">Obsah </w:t>
      </w:r>
      <w:r w:rsidR="000C6641">
        <w:t>tématu (</w:t>
      </w:r>
      <w:r w:rsidR="00E00850">
        <w:t>otázky</w:t>
      </w:r>
      <w:r w:rsidR="000C6641">
        <w:t>)</w:t>
      </w:r>
      <w:r w:rsidR="00E00850">
        <w:t xml:space="preserve"> by měl </w:t>
      </w:r>
      <w:r w:rsidR="001B084F">
        <w:t>věcně souviset</w:t>
      </w:r>
      <w:r w:rsidR="007F2539">
        <w:t>.</w:t>
      </w:r>
    </w:p>
    <w:p w14:paraId="3C375672" w14:textId="77777777" w:rsidR="00164670" w:rsidRDefault="00164670" w:rsidP="00DC675C">
      <w:pPr>
        <w:spacing w:line="240" w:lineRule="auto"/>
        <w:ind w:left="360"/>
      </w:pPr>
    </w:p>
    <w:p w14:paraId="34F1E05C" w14:textId="4F44478C" w:rsidR="00AF5985" w:rsidRPr="00FF6400" w:rsidRDefault="00393306" w:rsidP="00DC675C">
      <w:pPr>
        <w:spacing w:line="240" w:lineRule="auto"/>
        <w:jc w:val="both"/>
        <w:rPr>
          <w:b/>
          <w:sz w:val="24"/>
          <w:szCs w:val="24"/>
        </w:rPr>
      </w:pPr>
      <w:r w:rsidRPr="00FF6400">
        <w:rPr>
          <w:b/>
          <w:sz w:val="24"/>
          <w:szCs w:val="24"/>
        </w:rPr>
        <w:t xml:space="preserve">Způsob hodnocení a kritéria </w:t>
      </w:r>
      <w:r w:rsidR="00E07055" w:rsidRPr="00FF6400">
        <w:rPr>
          <w:b/>
          <w:sz w:val="24"/>
          <w:szCs w:val="24"/>
        </w:rPr>
        <w:t xml:space="preserve">hodnocení </w:t>
      </w:r>
    </w:p>
    <w:p w14:paraId="12F5FFCD" w14:textId="77777777" w:rsidR="00E07055" w:rsidRPr="00E07055" w:rsidRDefault="00E07055" w:rsidP="00DC675C">
      <w:pPr>
        <w:pStyle w:val="Odstavecseseznamem"/>
        <w:spacing w:line="240" w:lineRule="auto"/>
        <w:jc w:val="both"/>
        <w:rPr>
          <w:b/>
          <w:sz w:val="24"/>
          <w:szCs w:val="24"/>
        </w:rPr>
      </w:pPr>
    </w:p>
    <w:p w14:paraId="2F191EC7" w14:textId="49F68D98" w:rsidR="00E72297" w:rsidRPr="00E07055" w:rsidRDefault="00C87C87" w:rsidP="00DC675C">
      <w:pPr>
        <w:pStyle w:val="Odstavecseseznamem"/>
        <w:numPr>
          <w:ilvl w:val="0"/>
          <w:numId w:val="4"/>
        </w:numPr>
        <w:spacing w:line="240" w:lineRule="auto"/>
        <w:jc w:val="both"/>
        <w:rPr>
          <w:rFonts w:eastAsia="Times New Roman"/>
          <w:b/>
        </w:rPr>
      </w:pPr>
      <w:r w:rsidRPr="00E07055">
        <w:rPr>
          <w:rFonts w:eastAsia="Times New Roman"/>
          <w:b/>
        </w:rPr>
        <w:t>P</w:t>
      </w:r>
      <w:r w:rsidR="00CF0264" w:rsidRPr="00E07055">
        <w:rPr>
          <w:rFonts w:eastAsia="Times New Roman"/>
          <w:b/>
        </w:rPr>
        <w:t>ostup</w:t>
      </w:r>
      <w:r w:rsidR="00724025" w:rsidRPr="00E07055">
        <w:rPr>
          <w:rFonts w:eastAsia="Times New Roman"/>
          <w:b/>
        </w:rPr>
        <w:t xml:space="preserve"> stanovení </w:t>
      </w:r>
      <w:r w:rsidR="002170BD" w:rsidRPr="00E07055">
        <w:rPr>
          <w:rFonts w:eastAsia="Times New Roman"/>
          <w:b/>
        </w:rPr>
        <w:t>kritérií</w:t>
      </w:r>
    </w:p>
    <w:p w14:paraId="2732726E" w14:textId="77777777" w:rsidR="00B06418" w:rsidRDefault="00457B24" w:rsidP="00DC675C">
      <w:pPr>
        <w:spacing w:line="240" w:lineRule="auto"/>
        <w:jc w:val="both"/>
        <w:rPr>
          <w:rFonts w:eastAsia="Times New Roman"/>
          <w:i/>
          <w:iCs/>
        </w:rPr>
      </w:pPr>
      <w:r>
        <w:rPr>
          <w:rFonts w:eastAsia="Times New Roman"/>
        </w:rPr>
        <w:t>Podle ustanovení § 24</w:t>
      </w:r>
      <w:r w:rsidR="004704C7">
        <w:rPr>
          <w:rFonts w:eastAsia="Times New Roman"/>
        </w:rPr>
        <w:t xml:space="preserve"> odst. </w:t>
      </w:r>
      <w:r>
        <w:rPr>
          <w:rFonts w:eastAsia="Times New Roman"/>
        </w:rPr>
        <w:t>1 vyhlášky</w:t>
      </w:r>
      <w:r w:rsidR="004704C7">
        <w:rPr>
          <w:rFonts w:eastAsia="Times New Roman"/>
        </w:rPr>
        <w:t xml:space="preserve"> č. 177/2009 Sb., </w:t>
      </w:r>
      <w:r w:rsidRPr="00726776">
        <w:rPr>
          <w:rFonts w:eastAsia="Times New Roman"/>
          <w:i/>
          <w:iCs/>
        </w:rPr>
        <w:t>„</w:t>
      </w:r>
      <w:r w:rsidR="00271B65" w:rsidRPr="00726776">
        <w:rPr>
          <w:rFonts w:eastAsia="Times New Roman"/>
          <w:i/>
          <w:iCs/>
        </w:rPr>
        <w:t xml:space="preserve">Způsob a kritéria hodnocení každé zkoušky nebo její části včetně hranice úspěšnosti a způsob stanovení výsledného hodnocení zkoušek navrhuje ředitel školy, není-li dále stanoveno jinak, </w:t>
      </w:r>
      <w:r w:rsidR="00271B65" w:rsidRPr="00EA3A27">
        <w:rPr>
          <w:rFonts w:eastAsia="Times New Roman"/>
          <w:i/>
          <w:iCs/>
        </w:rPr>
        <w:t>a nejpozději před začátkem konání první zkoušky schvaluje zkušební maturitní komise.</w:t>
      </w:r>
      <w:r w:rsidR="00271B65" w:rsidRPr="00726776">
        <w:rPr>
          <w:rFonts w:eastAsia="Times New Roman"/>
          <w:i/>
          <w:iCs/>
        </w:rPr>
        <w:t xml:space="preserve"> Ředitel školy zveřejní schválený způsob hodnocení a schválená kritéria hodnocení podle věty druhé na veřejně přístupném místě ve škole a zároveň způsobem umožňujícím dálkový přístup, a to nejpozději před začátkem konání první ze zkoušek profilové části.</w:t>
      </w:r>
      <w:r w:rsidRPr="00726776">
        <w:rPr>
          <w:rFonts w:eastAsia="Times New Roman"/>
          <w:i/>
          <w:iCs/>
        </w:rPr>
        <w:t xml:space="preserve">“ </w:t>
      </w:r>
    </w:p>
    <w:p w14:paraId="6996C5F2" w14:textId="555CA13A" w:rsidR="004704C7" w:rsidRDefault="0047154E" w:rsidP="00DC675C">
      <w:pPr>
        <w:spacing w:line="240" w:lineRule="auto"/>
        <w:jc w:val="both"/>
        <w:rPr>
          <w:rFonts w:eastAsia="Times New Roman"/>
        </w:rPr>
      </w:pPr>
      <w:r>
        <w:rPr>
          <w:rFonts w:eastAsia="Times New Roman"/>
        </w:rPr>
        <w:t>Z výše uvedeného vyplývá</w:t>
      </w:r>
      <w:r w:rsidR="00D6671B">
        <w:rPr>
          <w:rFonts w:eastAsia="Times New Roman"/>
        </w:rPr>
        <w:t xml:space="preserve"> následující postup:</w:t>
      </w:r>
    </w:p>
    <w:p w14:paraId="494B4ADF" w14:textId="7540A690" w:rsidR="00D6671B" w:rsidRDefault="00605F83" w:rsidP="00DC675C">
      <w:pPr>
        <w:pStyle w:val="Odstavecseseznamem"/>
        <w:numPr>
          <w:ilvl w:val="0"/>
          <w:numId w:val="5"/>
        </w:numPr>
        <w:spacing w:line="240" w:lineRule="auto"/>
        <w:jc w:val="both"/>
        <w:rPr>
          <w:rFonts w:eastAsia="Times New Roman"/>
        </w:rPr>
      </w:pPr>
      <w:r>
        <w:rPr>
          <w:rFonts w:eastAsia="Times New Roman"/>
        </w:rPr>
        <w:t>návrh</w:t>
      </w:r>
      <w:r w:rsidR="00E871CA">
        <w:rPr>
          <w:rFonts w:eastAsia="Times New Roman"/>
        </w:rPr>
        <w:t xml:space="preserve"> </w:t>
      </w:r>
      <w:r w:rsidR="008B6072">
        <w:rPr>
          <w:rFonts w:eastAsia="Times New Roman"/>
        </w:rPr>
        <w:t xml:space="preserve">způsobu hodnocení a </w:t>
      </w:r>
      <w:r w:rsidR="00E871CA">
        <w:rPr>
          <w:rFonts w:eastAsia="Times New Roman"/>
        </w:rPr>
        <w:t>kritéri</w:t>
      </w:r>
      <w:r>
        <w:rPr>
          <w:rFonts w:eastAsia="Times New Roman"/>
        </w:rPr>
        <w:t>í</w:t>
      </w:r>
      <w:r w:rsidR="00E871CA">
        <w:rPr>
          <w:rFonts w:eastAsia="Times New Roman"/>
        </w:rPr>
        <w:t xml:space="preserve"> hodnocení</w:t>
      </w:r>
      <w:r>
        <w:rPr>
          <w:rFonts w:eastAsia="Times New Roman"/>
        </w:rPr>
        <w:t xml:space="preserve"> zpracovává ředitel školy, který jej následně předává ke schválení </w:t>
      </w:r>
      <w:r w:rsidR="006A35B0">
        <w:rPr>
          <w:rFonts w:eastAsia="Times New Roman"/>
        </w:rPr>
        <w:t>zkušební maturitní komisi</w:t>
      </w:r>
      <w:r w:rsidR="00203FB5">
        <w:rPr>
          <w:rFonts w:eastAsia="Times New Roman"/>
        </w:rPr>
        <w:t>,</w:t>
      </w:r>
    </w:p>
    <w:p w14:paraId="4B5899FC" w14:textId="19BC69FD" w:rsidR="00E871CA" w:rsidRPr="00170611" w:rsidRDefault="001E473A" w:rsidP="00DC675C">
      <w:pPr>
        <w:pStyle w:val="Odstavecseseznamem"/>
        <w:numPr>
          <w:ilvl w:val="0"/>
          <w:numId w:val="5"/>
        </w:numPr>
        <w:spacing w:line="240" w:lineRule="auto"/>
        <w:jc w:val="both"/>
        <w:rPr>
          <w:rFonts w:eastAsia="Times New Roman"/>
        </w:rPr>
      </w:pPr>
      <w:r>
        <w:rPr>
          <w:rFonts w:eastAsia="Times New Roman"/>
        </w:rPr>
        <w:t xml:space="preserve">následně </w:t>
      </w:r>
      <w:r w:rsidR="00790B5E">
        <w:rPr>
          <w:rFonts w:eastAsia="Times New Roman"/>
        </w:rPr>
        <w:t xml:space="preserve">zkušební maturitní komise </w:t>
      </w:r>
      <w:r w:rsidR="00D36477">
        <w:rPr>
          <w:rFonts w:eastAsia="Times New Roman"/>
        </w:rPr>
        <w:t>o návrhu ředitele jedná a schvaluje je</w:t>
      </w:r>
      <w:r w:rsidR="00A32CB0">
        <w:rPr>
          <w:rFonts w:eastAsia="Times New Roman"/>
        </w:rPr>
        <w:t>j</w:t>
      </w:r>
      <w:r w:rsidR="003976E4">
        <w:rPr>
          <w:rFonts w:eastAsia="Times New Roman"/>
        </w:rPr>
        <w:t xml:space="preserve">, a to </w:t>
      </w:r>
      <w:r w:rsidR="003976E4" w:rsidRPr="003976E4">
        <w:rPr>
          <w:rFonts w:eastAsia="Times New Roman"/>
          <w:b/>
          <w:bCs/>
        </w:rPr>
        <w:t>nejpozději před začátkem konání první zkoušky</w:t>
      </w:r>
      <w:r w:rsidR="00B8184F">
        <w:rPr>
          <w:rFonts w:eastAsia="Times New Roman"/>
          <w:b/>
          <w:bCs/>
        </w:rPr>
        <w:t xml:space="preserve"> profilo</w:t>
      </w:r>
      <w:r w:rsidR="00153A4B">
        <w:rPr>
          <w:rFonts w:eastAsia="Times New Roman"/>
          <w:b/>
          <w:bCs/>
        </w:rPr>
        <w:t xml:space="preserve">vé </w:t>
      </w:r>
      <w:r w:rsidR="00153A4B" w:rsidRPr="00153A4B">
        <w:rPr>
          <w:rFonts w:eastAsia="Times New Roman"/>
          <w:b/>
          <w:bCs/>
        </w:rPr>
        <w:t>části maturitní zkoušky</w:t>
      </w:r>
      <w:r w:rsidR="00A32CB0">
        <w:rPr>
          <w:rFonts w:eastAsia="Times New Roman"/>
          <w:b/>
          <w:bCs/>
        </w:rPr>
        <w:t>,</w:t>
      </w:r>
    </w:p>
    <w:p w14:paraId="0DA77723" w14:textId="60A81548" w:rsidR="00170611" w:rsidRPr="00D05507" w:rsidRDefault="00170611" w:rsidP="00DC675C">
      <w:pPr>
        <w:pStyle w:val="Odstavecseseznamem"/>
        <w:numPr>
          <w:ilvl w:val="0"/>
          <w:numId w:val="5"/>
        </w:numPr>
        <w:spacing w:line="240" w:lineRule="auto"/>
        <w:jc w:val="both"/>
        <w:rPr>
          <w:rFonts w:eastAsia="Times New Roman"/>
        </w:rPr>
      </w:pPr>
      <w:r>
        <w:rPr>
          <w:rFonts w:eastAsia="Times New Roman"/>
        </w:rPr>
        <w:t xml:space="preserve">následně </w:t>
      </w:r>
      <w:r w:rsidRPr="00D05507">
        <w:rPr>
          <w:rFonts w:eastAsia="Times New Roman"/>
        </w:rPr>
        <w:t xml:space="preserve">ředitel školy zveřejní schválený způsob hodnocení a schválená kritéria hodnocení na veřejně přístupném místě ve škole a zároveň způsobem umožňujícím dálkový přístup, </w:t>
      </w:r>
      <w:r w:rsidRPr="00170611">
        <w:rPr>
          <w:rFonts w:eastAsia="Times New Roman"/>
        </w:rPr>
        <w:t>a to nejpozději před začátkem konání první ze zkoušek profilové části; zde upozorňujeme na skutečnost, že pokud se zkouška skládá z </w:t>
      </w:r>
      <w:r w:rsidRPr="00C5288D">
        <w:rPr>
          <w:rFonts w:eastAsia="Times New Roman"/>
        </w:rPr>
        <w:t>více částí, musí být způsob a kritéria hodnocení komisí schválen před začátkem konání první z</w:t>
      </w:r>
      <w:r w:rsidR="00981DB0">
        <w:rPr>
          <w:rFonts w:eastAsia="Times New Roman"/>
        </w:rPr>
        <w:t> </w:t>
      </w:r>
      <w:r w:rsidRPr="00C5288D">
        <w:rPr>
          <w:rFonts w:eastAsia="Times New Roman"/>
        </w:rPr>
        <w:t>nich</w:t>
      </w:r>
      <w:r w:rsidR="00981DB0">
        <w:rPr>
          <w:rFonts w:eastAsia="Times New Roman"/>
        </w:rPr>
        <w:t>.</w:t>
      </w:r>
      <w:r w:rsidRPr="00C5288D">
        <w:rPr>
          <w:rFonts w:eastAsia="Times New Roman"/>
        </w:rPr>
        <w:t xml:space="preserve"> Způsob, jakým komise jedná o návrhu ředitele, právní předpisy neupravují, není tedy jediným možným způsobem schvalování za osobní přítomnosti všech členů komise, jsou možné i jiné způsoby (online jednání, e-mailová komunikace, kombinace výše uvedeného).</w:t>
      </w:r>
    </w:p>
    <w:p w14:paraId="690BC236" w14:textId="56E018EF" w:rsidR="009E4E95" w:rsidRDefault="00F54AD8" w:rsidP="00DC675C">
      <w:pPr>
        <w:spacing w:line="240" w:lineRule="auto"/>
        <w:jc w:val="both"/>
        <w:rPr>
          <w:rFonts w:eastAsia="Times New Roman"/>
        </w:rPr>
      </w:pPr>
      <w:r>
        <w:rPr>
          <w:rFonts w:eastAsia="Times New Roman"/>
        </w:rPr>
        <w:t>Skutečnost, že</w:t>
      </w:r>
      <w:r w:rsidR="00345668">
        <w:rPr>
          <w:rFonts w:eastAsia="Times New Roman"/>
        </w:rPr>
        <w:t xml:space="preserve"> způsob a kritéria hodnocení byla komisí schválena, je nutno doložit (zápis z jednání, </w:t>
      </w:r>
      <w:r w:rsidR="007E6FE4">
        <w:rPr>
          <w:rFonts w:eastAsia="Times New Roman"/>
        </w:rPr>
        <w:t>e-mailová či jiná písemná komunikace apod.</w:t>
      </w:r>
      <w:r w:rsidR="00557DBA">
        <w:rPr>
          <w:rFonts w:eastAsia="Times New Roman"/>
        </w:rPr>
        <w:t>)</w:t>
      </w:r>
    </w:p>
    <w:p w14:paraId="6E296296" w14:textId="77777777" w:rsidR="00164670" w:rsidRDefault="00164670" w:rsidP="00DC675C">
      <w:pPr>
        <w:spacing w:line="240" w:lineRule="auto"/>
        <w:jc w:val="both"/>
        <w:rPr>
          <w:rFonts w:eastAsia="Times New Roman"/>
        </w:rPr>
      </w:pPr>
    </w:p>
    <w:p w14:paraId="482ED92C" w14:textId="74D6939F" w:rsidR="00D64B14" w:rsidRPr="00E07055" w:rsidRDefault="00C87C87" w:rsidP="00DC675C">
      <w:pPr>
        <w:pStyle w:val="Odstavecseseznamem"/>
        <w:numPr>
          <w:ilvl w:val="0"/>
          <w:numId w:val="4"/>
        </w:numPr>
        <w:spacing w:line="240" w:lineRule="auto"/>
        <w:jc w:val="both"/>
        <w:rPr>
          <w:rFonts w:eastAsia="Times New Roman"/>
          <w:b/>
        </w:rPr>
      </w:pPr>
      <w:r w:rsidRPr="00E07055">
        <w:rPr>
          <w:rFonts w:eastAsia="Times New Roman"/>
          <w:b/>
        </w:rPr>
        <w:t>Obsah</w:t>
      </w:r>
      <w:r w:rsidR="008611CF" w:rsidRPr="00E07055">
        <w:rPr>
          <w:rFonts w:eastAsia="Times New Roman"/>
          <w:b/>
        </w:rPr>
        <w:t xml:space="preserve"> a podoba kritérií</w:t>
      </w:r>
    </w:p>
    <w:p w14:paraId="429A4007" w14:textId="0F86F642" w:rsidR="0014254F" w:rsidRDefault="0029739C" w:rsidP="00DC675C">
      <w:pPr>
        <w:spacing w:line="240" w:lineRule="auto"/>
        <w:jc w:val="both"/>
      </w:pPr>
      <w:r>
        <w:t>Zde zdůrazňujeme, že j</w:t>
      </w:r>
      <w:r w:rsidR="00CE2BBA">
        <w:t>e třeba</w:t>
      </w:r>
      <w:r w:rsidR="00B6764B">
        <w:t xml:space="preserve">, aby </w:t>
      </w:r>
      <w:r w:rsidR="00726776">
        <w:t xml:space="preserve">způsob hodnocení </w:t>
      </w:r>
      <w:r w:rsidR="000B415F">
        <w:t xml:space="preserve">a </w:t>
      </w:r>
      <w:r w:rsidR="000B415F" w:rsidRPr="000B415F">
        <w:rPr>
          <w:rFonts w:eastAsia="Times New Roman"/>
        </w:rPr>
        <w:t>způsob stanovení výsledného hodnocení</w:t>
      </w:r>
      <w:r w:rsidR="000B415F" w:rsidRPr="00726776">
        <w:rPr>
          <w:rFonts w:eastAsia="Times New Roman"/>
          <w:i/>
          <w:iCs/>
        </w:rPr>
        <w:t xml:space="preserve"> </w:t>
      </w:r>
      <w:r w:rsidR="00DC2D01">
        <w:t>byl</w:t>
      </w:r>
      <w:r w:rsidR="000A033B">
        <w:t>y</w:t>
      </w:r>
      <w:r w:rsidR="00DC2D01">
        <w:t xml:space="preserve"> stanoven</w:t>
      </w:r>
      <w:r w:rsidR="0015136B">
        <w:t>y</w:t>
      </w:r>
      <w:r w:rsidR="00DC2D01">
        <w:t xml:space="preserve"> </w:t>
      </w:r>
      <w:r w:rsidR="0061265B">
        <w:t>co ne</w:t>
      </w:r>
      <w:r w:rsidR="00CE2BBA">
        <w:t>jpřesněji</w:t>
      </w:r>
      <w:r w:rsidR="000847CC">
        <w:t xml:space="preserve">, </w:t>
      </w:r>
      <w:r w:rsidR="00792C30">
        <w:t xml:space="preserve">byly schváleny </w:t>
      </w:r>
      <w:r w:rsidR="000847CC">
        <w:t>předem</w:t>
      </w:r>
      <w:r w:rsidR="00B6764B">
        <w:t xml:space="preserve"> a </w:t>
      </w:r>
      <w:r w:rsidR="00695B0F">
        <w:t>byly schváleny maturitní komisí</w:t>
      </w:r>
      <w:r w:rsidR="00E664BD">
        <w:t xml:space="preserve"> (vše v písemné podobě)</w:t>
      </w:r>
      <w:r w:rsidR="00CE2BBA">
        <w:t xml:space="preserve">. </w:t>
      </w:r>
      <w:r w:rsidR="00AF5985">
        <w:t xml:space="preserve">Je třeba detailně nastavit očekávání pro naplnění jednotlivých témat </w:t>
      </w:r>
      <w:r w:rsidR="00F902B7">
        <w:t>(</w:t>
      </w:r>
      <w:r w:rsidR="00AF5985">
        <w:t>otázek</w:t>
      </w:r>
      <w:r w:rsidR="00F902B7">
        <w:t>)</w:t>
      </w:r>
      <w:r w:rsidR="00DD140D">
        <w:t>,</w:t>
      </w:r>
      <w:r w:rsidR="00AF5985">
        <w:t xml:space="preserve"> tak aby bylo možné tato aplikovat na konkrétní výkon žáka</w:t>
      </w:r>
      <w:r>
        <w:t xml:space="preserve">. </w:t>
      </w:r>
      <w:r w:rsidR="00540493">
        <w:t>Je třeba definovat úroveň znalostí</w:t>
      </w:r>
      <w:r w:rsidR="0074097E">
        <w:t xml:space="preserve"> (určitou charakteristiku </w:t>
      </w:r>
      <w:r w:rsidR="0014254F">
        <w:t>jednotlivých výkonů)</w:t>
      </w:r>
      <w:r w:rsidR="00540493">
        <w:t xml:space="preserve"> odpovídajících jednotlivým stupňům hodnocení (známkám).</w:t>
      </w:r>
      <w:r w:rsidR="00807DCA">
        <w:t xml:space="preserve"> </w:t>
      </w:r>
    </w:p>
    <w:p w14:paraId="34F1E05D" w14:textId="07B76622" w:rsidR="0029739C" w:rsidRDefault="0014254F" w:rsidP="00DC675C">
      <w:pPr>
        <w:spacing w:line="240" w:lineRule="auto"/>
        <w:jc w:val="both"/>
      </w:pPr>
      <w:r>
        <w:t>V p</w:t>
      </w:r>
      <w:r w:rsidR="004647AB">
        <w:t>ra</w:t>
      </w:r>
      <w:r>
        <w:t>xi se stává, že</w:t>
      </w:r>
      <w:r w:rsidR="005E1A38">
        <w:t xml:space="preserve"> jsou</w:t>
      </w:r>
      <w:r>
        <w:t xml:space="preserve"> formulace</w:t>
      </w:r>
      <w:r w:rsidR="00540493">
        <w:t xml:space="preserve"> </w:t>
      </w:r>
      <w:r w:rsidR="004647AB">
        <w:t>v</w:t>
      </w:r>
      <w:r w:rsidR="005E1A38">
        <w:t>e výše uvedených</w:t>
      </w:r>
      <w:r w:rsidR="004647AB">
        <w:t xml:space="preserve"> dokumentech </w:t>
      </w:r>
      <w:r w:rsidR="004647AB">
        <w:rPr>
          <w:rFonts w:eastAsia="Times New Roman"/>
        </w:rPr>
        <w:t>příliš vágní</w:t>
      </w:r>
      <w:r w:rsidR="00301C4D">
        <w:rPr>
          <w:rFonts w:eastAsia="Times New Roman"/>
        </w:rPr>
        <w:t xml:space="preserve"> nebo se </w:t>
      </w:r>
      <w:r w:rsidR="00182F35">
        <w:rPr>
          <w:rFonts w:eastAsia="Times New Roman"/>
        </w:rPr>
        <w:t xml:space="preserve">například </w:t>
      </w:r>
      <w:r w:rsidR="00ED77B4">
        <w:rPr>
          <w:rFonts w:eastAsia="Times New Roman"/>
        </w:rPr>
        <w:t>charakteristiky jednotlivých známek překrývají</w:t>
      </w:r>
      <w:r w:rsidR="004647AB">
        <w:rPr>
          <w:rFonts w:eastAsia="Times New Roman"/>
        </w:rPr>
        <w:t>. Při námitkách v</w:t>
      </w:r>
      <w:r w:rsidR="003908EC">
        <w:rPr>
          <w:rFonts w:eastAsia="Times New Roman"/>
        </w:rPr>
        <w:t> žádosti o přezkum typu: „Můj výkon odpovídal čtverce a ne p</w:t>
      </w:r>
      <w:r w:rsidR="002557D6">
        <w:rPr>
          <w:rFonts w:eastAsia="Times New Roman"/>
        </w:rPr>
        <w:t>ě</w:t>
      </w:r>
      <w:r w:rsidR="003908EC">
        <w:rPr>
          <w:rFonts w:eastAsia="Times New Roman"/>
        </w:rPr>
        <w:t>tce…“</w:t>
      </w:r>
      <w:r w:rsidR="002557D6">
        <w:rPr>
          <w:rFonts w:eastAsia="Times New Roman"/>
        </w:rPr>
        <w:t xml:space="preserve"> je pak </w:t>
      </w:r>
      <w:r w:rsidR="004647AB">
        <w:rPr>
          <w:rFonts w:eastAsia="Times New Roman"/>
        </w:rPr>
        <w:t>těžké určit, kam popsaný výkon zařadit</w:t>
      </w:r>
      <w:r w:rsidR="002557D6">
        <w:rPr>
          <w:rFonts w:eastAsia="Times New Roman"/>
        </w:rPr>
        <w:t xml:space="preserve">, tedy zhodnotit, zda </w:t>
      </w:r>
      <w:r w:rsidR="00041EF7">
        <w:rPr>
          <w:rFonts w:eastAsia="Times New Roman"/>
        </w:rPr>
        <w:t xml:space="preserve">hodnocení odpovídalo </w:t>
      </w:r>
      <w:r w:rsidR="00924DB6">
        <w:rPr>
          <w:rFonts w:eastAsia="Times New Roman"/>
        </w:rPr>
        <w:t>stanovenému způsobu hodnocení a jako takové bylo správné.</w:t>
      </w:r>
      <w:r w:rsidR="004647AB">
        <w:t xml:space="preserve"> </w:t>
      </w:r>
    </w:p>
    <w:p w14:paraId="471004B5" w14:textId="02BE285D" w:rsidR="00E2058A" w:rsidRDefault="000C0F57" w:rsidP="00DC675C">
      <w:pPr>
        <w:spacing w:line="240" w:lineRule="auto"/>
        <w:jc w:val="both"/>
      </w:pPr>
      <w:r w:rsidRPr="00B06418">
        <w:rPr>
          <w:b/>
        </w:rPr>
        <w:lastRenderedPageBreak/>
        <w:t>Způsob i kritéria hodnocení musí odpovídat povaze formy konkrétní zkoušky</w:t>
      </w:r>
      <w:r w:rsidR="002D4B8C" w:rsidRPr="00B06418">
        <w:rPr>
          <w:b/>
        </w:rPr>
        <w:t xml:space="preserve"> </w:t>
      </w:r>
      <w:r w:rsidR="008E6DAB" w:rsidRPr="00B06418">
        <w:rPr>
          <w:b/>
        </w:rPr>
        <w:t xml:space="preserve">(viz ustanovení § 79 odst. 4 školského zákona) </w:t>
      </w:r>
      <w:r w:rsidR="002D4B8C" w:rsidRPr="00B06418">
        <w:rPr>
          <w:b/>
        </w:rPr>
        <w:t xml:space="preserve">– </w:t>
      </w:r>
      <w:r w:rsidR="00BF7154" w:rsidRPr="00B06418">
        <w:rPr>
          <w:b/>
        </w:rPr>
        <w:t xml:space="preserve">budou tedy kritéria pro různé předměty i formy </w:t>
      </w:r>
      <w:r w:rsidR="00BF7154" w:rsidRPr="00B242E4">
        <w:rPr>
          <w:b/>
        </w:rPr>
        <w:t>zkoušek</w:t>
      </w:r>
      <w:r w:rsidR="000F4B83">
        <w:rPr>
          <w:b/>
        </w:rPr>
        <w:t xml:space="preserve"> formulována různě</w:t>
      </w:r>
      <w:r w:rsidR="006D4D87" w:rsidRPr="00B242E4">
        <w:rPr>
          <w:b/>
        </w:rPr>
        <w:t>.</w:t>
      </w:r>
      <w:r w:rsidR="00EC3B77">
        <w:t xml:space="preserve"> </w:t>
      </w:r>
    </w:p>
    <w:p w14:paraId="34F1E060" w14:textId="21D5D988" w:rsidR="00423151" w:rsidRPr="00B85331" w:rsidRDefault="00423151" w:rsidP="00DC675C">
      <w:pPr>
        <w:spacing w:line="240" w:lineRule="auto"/>
        <w:jc w:val="both"/>
      </w:pPr>
      <w:r w:rsidRPr="00B06418">
        <w:rPr>
          <w:b/>
        </w:rPr>
        <w:t>Stanovení kritérií ve výše uvedeném smyslu je nezbytné i u zkoušek</w:t>
      </w:r>
      <w:r w:rsidR="0048516B" w:rsidRPr="00B06418">
        <w:rPr>
          <w:b/>
        </w:rPr>
        <w:t>, které mají písemnou formu</w:t>
      </w:r>
      <w:r w:rsidR="00DA090C" w:rsidRPr="00B06418">
        <w:rPr>
          <w:b/>
        </w:rPr>
        <w:t xml:space="preserve">, ať </w:t>
      </w:r>
      <w:r w:rsidR="00B87C2F" w:rsidRPr="00B06418">
        <w:rPr>
          <w:b/>
        </w:rPr>
        <w:t>formu testu</w:t>
      </w:r>
      <w:r w:rsidR="00710C70">
        <w:rPr>
          <w:b/>
        </w:rPr>
        <w:t>,</w:t>
      </w:r>
      <w:r w:rsidR="00B87C2F" w:rsidRPr="00B06418">
        <w:rPr>
          <w:b/>
        </w:rPr>
        <w:t xml:space="preserve"> písemné práce</w:t>
      </w:r>
      <w:r w:rsidR="001F2F7C" w:rsidRPr="00B06418">
        <w:rPr>
          <w:b/>
        </w:rPr>
        <w:t xml:space="preserve"> (nově pro písemnou práci z českého jazyka a literatury a z cizího jazyka)</w:t>
      </w:r>
      <w:r w:rsidR="00710C70">
        <w:rPr>
          <w:b/>
        </w:rPr>
        <w:t>, ma</w:t>
      </w:r>
      <w:r w:rsidR="000E41D9">
        <w:rPr>
          <w:b/>
        </w:rPr>
        <w:t>turitní práce apod</w:t>
      </w:r>
      <w:r w:rsidR="00B87C2F" w:rsidRPr="00B06418">
        <w:rPr>
          <w:b/>
        </w:rPr>
        <w:t>.</w:t>
      </w:r>
      <w:r>
        <w:t xml:space="preserve"> </w:t>
      </w:r>
      <w:r w:rsidR="00026952">
        <w:t xml:space="preserve">I </w:t>
      </w:r>
      <w:r w:rsidR="0038023D">
        <w:t>v</w:t>
      </w:r>
      <w:r w:rsidR="00B87C2F">
        <w:t xml:space="preserve"> případě </w:t>
      </w:r>
      <w:r w:rsidR="0038023D">
        <w:t>písemné práce j</w:t>
      </w:r>
      <w:r>
        <w:t xml:space="preserve">e třeba, aby hodnocení </w:t>
      </w:r>
      <w:r w:rsidR="001E60A9">
        <w:t>písemné práce</w:t>
      </w:r>
      <w:r>
        <w:t xml:space="preserve"> bylo přezkoumatelné a aby na základě stanovených kritérií byli schopni </w:t>
      </w:r>
      <w:r w:rsidR="001E60A9">
        <w:t>písemnou práci</w:t>
      </w:r>
      <w:r>
        <w:t xml:space="preserve"> ohodnotit i </w:t>
      </w:r>
      <w:r w:rsidR="005F2107">
        <w:t xml:space="preserve">jiné subjekty než </w:t>
      </w:r>
      <w:r>
        <w:t xml:space="preserve">učitelé z </w:t>
      </w:r>
      <w:r w:rsidR="005F2107">
        <w:t>Vaší školy (</w:t>
      </w:r>
      <w:r w:rsidR="008D403B">
        <w:t>zejména z důvodu případného přezkoumávání výsledku</w:t>
      </w:r>
      <w:r w:rsidR="00153162">
        <w:t xml:space="preserve"> maturitní zkoušky)</w:t>
      </w:r>
      <w:r>
        <w:t>. Je možné využít kritérií využív</w:t>
      </w:r>
      <w:r w:rsidR="000847CC">
        <w:t>aných</w:t>
      </w:r>
      <w:r>
        <w:t xml:space="preserve"> pro centrálně hodnocené zkoušky</w:t>
      </w:r>
      <w:r w:rsidR="00B85331">
        <w:t xml:space="preserve"> </w:t>
      </w:r>
      <w:r w:rsidR="00CC0193">
        <w:t>–</w:t>
      </w:r>
      <w:r>
        <w:t xml:space="preserve"> viz</w:t>
      </w:r>
      <w:r w:rsidR="00153162">
        <w:t xml:space="preserve"> </w:t>
      </w:r>
      <w:hyperlink r:id="rId8" w:history="1">
        <w:r w:rsidRPr="00A36009">
          <w:rPr>
            <w:rStyle w:val="Hypertextovodkaz"/>
          </w:rPr>
          <w:t>https://maturita.cermat.cz/archiv-maturitni-zkousky/maturitni-zkouska-2019-archiv/kriteria-hodnoceni-2019-archiv</w:t>
        </w:r>
      </w:hyperlink>
      <w:r w:rsidR="00575306">
        <w:rPr>
          <w:rStyle w:val="Hypertextovodkaz"/>
        </w:rPr>
        <w:t xml:space="preserve">. </w:t>
      </w:r>
      <w:r w:rsidR="00575306" w:rsidRPr="00B85331">
        <w:t xml:space="preserve">V souvislosti s hodnocením písemné práce </w:t>
      </w:r>
      <w:r w:rsidR="00D660DB" w:rsidRPr="00B85331">
        <w:t xml:space="preserve">je třeba dodržet ustanovení § </w:t>
      </w:r>
      <w:r w:rsidR="00A0317F" w:rsidRPr="00B85331">
        <w:t>24 odst. 2 vyhlášky č. 177/2009 Sb.</w:t>
      </w:r>
      <w:r w:rsidR="00D42F22" w:rsidRPr="00B85331">
        <w:t xml:space="preserve">, podle kterého </w:t>
      </w:r>
      <w:r w:rsidR="00D42F22" w:rsidRPr="00B85331">
        <w:rPr>
          <w:i/>
          <w:iCs/>
        </w:rPr>
        <w:t>v případě zkoušek z českého jazyka a literatury a z cizího jazyka tvoří hodnocení písemné práce 40 % a hodnocení ústní zkoušky 60 % celkového hodnocení zkušebního předmětu.</w:t>
      </w:r>
    </w:p>
    <w:p w14:paraId="62BA1C88" w14:textId="77777777" w:rsidR="00164670" w:rsidRDefault="00164670" w:rsidP="00DC675C">
      <w:pPr>
        <w:spacing w:line="240" w:lineRule="auto"/>
        <w:jc w:val="both"/>
      </w:pPr>
    </w:p>
    <w:p w14:paraId="66AAA4AE" w14:textId="13D0C6A7" w:rsidR="003963C2" w:rsidRPr="00A047A0" w:rsidRDefault="003963C2" w:rsidP="00DC675C">
      <w:pPr>
        <w:pStyle w:val="Odstavecseseznamem"/>
        <w:numPr>
          <w:ilvl w:val="0"/>
          <w:numId w:val="4"/>
        </w:numPr>
        <w:spacing w:line="240" w:lineRule="auto"/>
        <w:jc w:val="both"/>
        <w:rPr>
          <w:b/>
          <w:iCs/>
        </w:rPr>
      </w:pPr>
      <w:r w:rsidRPr="00A047A0">
        <w:rPr>
          <w:b/>
          <w:iCs/>
        </w:rPr>
        <w:t>Žáci s přiznaným uzpůsobením podmínek pro konání maturitní zkoušky (dále jen „žák s PUP“)</w:t>
      </w:r>
      <w:r w:rsidR="00282098" w:rsidRPr="00A047A0">
        <w:rPr>
          <w:b/>
          <w:iCs/>
        </w:rPr>
        <w:t>.</w:t>
      </w:r>
    </w:p>
    <w:p w14:paraId="34F1E061" w14:textId="14A6C103" w:rsidR="00AC0F7A" w:rsidRPr="00B06418" w:rsidRDefault="0029739C" w:rsidP="00DC675C">
      <w:pPr>
        <w:spacing w:line="240" w:lineRule="auto"/>
        <w:jc w:val="both"/>
        <w:rPr>
          <w:b/>
        </w:rPr>
      </w:pPr>
      <w:r w:rsidRPr="00282098">
        <w:t xml:space="preserve">Dále upozorňujeme na </w:t>
      </w:r>
      <w:r w:rsidRPr="00B06418">
        <w:rPr>
          <w:b/>
        </w:rPr>
        <w:t xml:space="preserve">nezbytnost </w:t>
      </w:r>
      <w:r w:rsidR="00AC0F7A" w:rsidRPr="00B06418">
        <w:rPr>
          <w:b/>
        </w:rPr>
        <w:t>dodržení ustanovení §</w:t>
      </w:r>
      <w:r w:rsidR="00153162" w:rsidRPr="00B06418">
        <w:rPr>
          <w:b/>
        </w:rPr>
        <w:t xml:space="preserve"> </w:t>
      </w:r>
      <w:r w:rsidR="00AC0F7A" w:rsidRPr="00B06418">
        <w:rPr>
          <w:b/>
        </w:rPr>
        <w:t xml:space="preserve">20 vyhlášky č. 177/2009 Sb., který pojednává o odlišnostech konání maturitní zkoušky pro žáky s přiznaným uzpůsobením podmínek pro konání maturitní zkoušky. </w:t>
      </w:r>
    </w:p>
    <w:p w14:paraId="4FCB7734" w14:textId="47E43567" w:rsidR="00334980" w:rsidRPr="00C80B2C" w:rsidRDefault="00334980" w:rsidP="00DC675C">
      <w:pPr>
        <w:spacing w:line="240" w:lineRule="auto"/>
        <w:jc w:val="both"/>
        <w:rPr>
          <w:iCs/>
        </w:rPr>
      </w:pPr>
      <w:r w:rsidRPr="001A0C38">
        <w:rPr>
          <w:i/>
        </w:rPr>
        <w:t>„Žák s přiznaným uzpůsobením podmínek pro konání maturitní zkoušky</w:t>
      </w:r>
      <w:r w:rsidR="001A0C38">
        <w:rPr>
          <w:i/>
        </w:rPr>
        <w:t xml:space="preserve"> </w:t>
      </w:r>
      <w:r w:rsidRPr="001A0C38">
        <w:rPr>
          <w:i/>
        </w:rPr>
        <w:t xml:space="preserve">koná maturitní zkoušku za podmínek odpovídajících jeho znevýhodnění. Uzpůsobení zadání písemných prací a pracovních listů pro žáky s přiznaným uzpůsobením podmínek pro konání maturitní zkoušky zajistí škola“. </w:t>
      </w:r>
      <w:r w:rsidRPr="001A0C38">
        <w:rPr>
          <w:b/>
        </w:rPr>
        <w:t xml:space="preserve">Vše za podmínek stanovených přílohou č. 3 k vyhlášce č. 177/2009 Sb. </w:t>
      </w:r>
      <w:r w:rsidR="0076526D">
        <w:rPr>
          <w:b/>
        </w:rPr>
        <w:t xml:space="preserve">- </w:t>
      </w:r>
      <w:r w:rsidRPr="001A0C38">
        <w:rPr>
          <w:b/>
        </w:rPr>
        <w:t>Uzpůsobení maturitní zkoušky pro žáky s přiznaným uzpůsobením podmínek pro konání maturitní zkoušky.</w:t>
      </w:r>
      <w:r w:rsidR="001A0C38" w:rsidRPr="001A0C38">
        <w:rPr>
          <w:b/>
        </w:rPr>
        <w:t xml:space="preserve"> </w:t>
      </w:r>
      <w:r w:rsidRPr="001A0C38">
        <w:rPr>
          <w:i/>
        </w:rPr>
        <w:t>„Uzpůsobení podmínek pro konání zkoušek společné části maturitní zkoušky se přiměřeně uplatní i pro uzpůsobení podmínek pro konání zkoušek profilové části maturitní zkoušky.“</w:t>
      </w:r>
    </w:p>
    <w:p w14:paraId="5B83C5B9" w14:textId="77B6276F" w:rsidR="001A0C38" w:rsidRDefault="001A0C38" w:rsidP="00C80B2C">
      <w:pPr>
        <w:spacing w:line="240" w:lineRule="auto"/>
        <w:jc w:val="both"/>
      </w:pPr>
      <w:r w:rsidRPr="001A0C38">
        <w:t>Žáci s</w:t>
      </w:r>
      <w:r>
        <w:t> PUP mají</w:t>
      </w:r>
      <w:r w:rsidRPr="001A0C38">
        <w:t xml:space="preserve"> podle závažnosti svého znevýhodnění právo na</w:t>
      </w:r>
      <w:r>
        <w:t xml:space="preserve"> uzpůsobení podmínek spočívajících</w:t>
      </w:r>
    </w:p>
    <w:p w14:paraId="29500E21" w14:textId="69CF67AC" w:rsidR="001A0C38" w:rsidRDefault="00DC675C" w:rsidP="00DC675C">
      <w:pPr>
        <w:pStyle w:val="Odstavecseseznamem"/>
        <w:numPr>
          <w:ilvl w:val="0"/>
          <w:numId w:val="1"/>
        </w:numPr>
        <w:spacing w:line="240" w:lineRule="auto"/>
        <w:jc w:val="both"/>
      </w:pPr>
      <w:r>
        <w:rPr>
          <w:b/>
        </w:rPr>
        <w:t xml:space="preserve">v </w:t>
      </w:r>
      <w:r w:rsidR="001A0C38" w:rsidRPr="00282098">
        <w:rPr>
          <w:b/>
        </w:rPr>
        <w:t>uzpůsobení „procesního charakteru“,</w:t>
      </w:r>
      <w:r w:rsidR="001A0C38">
        <w:t xml:space="preserve"> a to například na </w:t>
      </w:r>
      <w:r w:rsidR="001A0C38" w:rsidRPr="001A0C38">
        <w:t>úpravu prostředí, navýšení časového limitu, obsahové a formální úpravy zadání zkoušek společné a profilové části maturitní zkoušky</w:t>
      </w:r>
      <w:r w:rsidR="001A0C38">
        <w:t xml:space="preserve">, </w:t>
      </w:r>
      <w:r w:rsidR="001A0C38" w:rsidRPr="006F11D8">
        <w:t>použití kompenzačních pomůcek, tlumočení a technickou nebo speciálně pedagogickou asistenci</w:t>
      </w:r>
      <w:r w:rsidR="001A0C38">
        <w:t xml:space="preserve"> atd.</w:t>
      </w:r>
    </w:p>
    <w:p w14:paraId="4D722B2A" w14:textId="2FEECA04" w:rsidR="001A0C38" w:rsidRDefault="001A0C38" w:rsidP="00DC675C">
      <w:pPr>
        <w:pStyle w:val="Odstavecseseznamem"/>
        <w:spacing w:line="240" w:lineRule="auto"/>
        <w:jc w:val="both"/>
      </w:pPr>
      <w:r>
        <w:t>a</w:t>
      </w:r>
    </w:p>
    <w:p w14:paraId="751F9D91" w14:textId="2406EC35" w:rsidR="001A0C38" w:rsidRDefault="00DC675C" w:rsidP="00DC675C">
      <w:pPr>
        <w:pStyle w:val="Odstavecseseznamem"/>
        <w:numPr>
          <w:ilvl w:val="0"/>
          <w:numId w:val="1"/>
        </w:numPr>
        <w:spacing w:line="240" w:lineRule="auto"/>
        <w:jc w:val="both"/>
      </w:pPr>
      <w:r>
        <w:rPr>
          <w:b/>
        </w:rPr>
        <w:t xml:space="preserve">v </w:t>
      </w:r>
      <w:r w:rsidR="001A0C38" w:rsidRPr="00282098">
        <w:rPr>
          <w:b/>
        </w:rPr>
        <w:t>odlišnosti hodnocení</w:t>
      </w:r>
      <w:r w:rsidR="001A0C38">
        <w:t>.</w:t>
      </w:r>
    </w:p>
    <w:p w14:paraId="4C7086C7" w14:textId="73F714F6" w:rsidR="00330C22" w:rsidRDefault="001A0C38" w:rsidP="00DC675C">
      <w:pPr>
        <w:spacing w:line="240" w:lineRule="auto"/>
        <w:jc w:val="both"/>
      </w:pPr>
      <w:r>
        <w:t xml:space="preserve">V praxi nebude činit problém </w:t>
      </w:r>
      <w:r w:rsidR="00330C22">
        <w:t>uzpůsobení podmínek „procesního charakteru“, ty jsou de facto strik</w:t>
      </w:r>
      <w:r w:rsidR="00282098">
        <w:t>t</w:t>
      </w:r>
      <w:r w:rsidR="00330C22">
        <w:t xml:space="preserve">ně dané. Složitější je situace v případě uzpůsobení podmínek spočívajících v „odlišnosti hodnocení“.  </w:t>
      </w:r>
    </w:p>
    <w:p w14:paraId="14638590" w14:textId="38A070C4" w:rsidR="001A0C38" w:rsidRPr="001A0C38" w:rsidRDefault="00330C22" w:rsidP="00DC675C">
      <w:pPr>
        <w:spacing w:line="240" w:lineRule="auto"/>
        <w:jc w:val="both"/>
      </w:pPr>
      <w:r>
        <w:t>Vzhledem k tomu, že v souladu s vyhláškou č. 177/2009 Sb. musí ředitel</w:t>
      </w:r>
      <w:r w:rsidRPr="00330C22">
        <w:t xml:space="preserve"> školy prokazatelně seznám</w:t>
      </w:r>
      <w:r>
        <w:t>it</w:t>
      </w:r>
      <w:r w:rsidRPr="00330C22">
        <w:t xml:space="preserve"> žáka s</w:t>
      </w:r>
      <w:r w:rsidR="0076526D">
        <w:t> </w:t>
      </w:r>
      <w:r>
        <w:t>PUP</w:t>
      </w:r>
      <w:r w:rsidRPr="00330C22">
        <w:t xml:space="preserve"> s úpravami podmínek a způsobu konání zkoušek </w:t>
      </w:r>
      <w:r>
        <w:t>předem</w:t>
      </w:r>
      <w:r w:rsidR="0076526D">
        <w:t xml:space="preserve"> (</w:t>
      </w:r>
      <w:r>
        <w:t>v termínech stanovených vyhláškou č. 177/2009 Sb.</w:t>
      </w:r>
      <w:r w:rsidR="0076526D">
        <w:t>)</w:t>
      </w:r>
      <w:r>
        <w:t xml:space="preserve"> a stejně tak musí </w:t>
      </w:r>
      <w:r w:rsidRPr="00330C22">
        <w:t xml:space="preserve">v dostatečném předstihu </w:t>
      </w:r>
      <w:r>
        <w:t xml:space="preserve">seznámit </w:t>
      </w:r>
      <w:r w:rsidRPr="00330C22">
        <w:t>členy zkušební maturitní komise, komisaře a zadavatele s podmínkami konání maturitní zkoušky žáka s</w:t>
      </w:r>
      <w:r>
        <w:t> PUP, je zjevné, že je třeba, aby byl předem nastaven určitý rámec „odlišnosti hodnocení“, tedy toho</w:t>
      </w:r>
      <w:r w:rsidR="00B85331">
        <w:t>,</w:t>
      </w:r>
      <w:r>
        <w:t xml:space="preserve"> jak bude s doporučením k uzpůsobení podmínek pro konání maturitní zkoušky fakticky pracováno, potažmo jak toto bude </w:t>
      </w:r>
      <w:r w:rsidR="00136E9A">
        <w:t xml:space="preserve">promítnuto do hodnocení žáka s PUP. </w:t>
      </w:r>
    </w:p>
    <w:p w14:paraId="6C6D0BA7" w14:textId="678F8D21" w:rsidR="00136E9A" w:rsidRDefault="00423151" w:rsidP="00DC675C">
      <w:pPr>
        <w:spacing w:line="240" w:lineRule="auto"/>
        <w:jc w:val="both"/>
      </w:pPr>
      <w:r>
        <w:lastRenderedPageBreak/>
        <w:t xml:space="preserve">Opět je třeba si uvědomit, že v rámci přezkumného řízení bude mít krajský úřad zákonem uloženou povinnost ověřit, zda </w:t>
      </w:r>
      <w:r w:rsidR="00AC0F7A">
        <w:t xml:space="preserve">a jak </w:t>
      </w:r>
      <w:r>
        <w:t xml:space="preserve">bylo doporučení k uzpůsobení podmínek </w:t>
      </w:r>
      <w:r w:rsidR="00136E9A">
        <w:t xml:space="preserve">konání </w:t>
      </w:r>
      <w:r>
        <w:t>maturitní zkoušky</w:t>
      </w:r>
      <w:r w:rsidR="00136E9A">
        <w:t xml:space="preserve"> zohledněno</w:t>
      </w:r>
      <w:r w:rsidR="0076526D">
        <w:t xml:space="preserve">, a to </w:t>
      </w:r>
      <w:r w:rsidR="00136E9A">
        <w:t xml:space="preserve">jak </w:t>
      </w:r>
      <w:r w:rsidR="0076526D">
        <w:t>co do</w:t>
      </w:r>
      <w:r w:rsidR="00136E9A">
        <w:t> uzpůsobení „procesního charakteru“</w:t>
      </w:r>
      <w:r w:rsidR="00CC0193">
        <w:t>,</w:t>
      </w:r>
      <w:r w:rsidR="00136E9A">
        <w:t xml:space="preserve"> tak </w:t>
      </w:r>
      <w:r w:rsidR="0076526D">
        <w:t>do</w:t>
      </w:r>
      <w:r w:rsidR="00136E9A">
        <w:t xml:space="preserve"> „odlišnosti hodnocení“</w:t>
      </w:r>
      <w:r w:rsidR="00CE46D6">
        <w:t xml:space="preserve">. </w:t>
      </w:r>
    </w:p>
    <w:p w14:paraId="34F1E063" w14:textId="7E12DBED" w:rsidR="0029739C" w:rsidRDefault="003963C2" w:rsidP="00DC675C">
      <w:pPr>
        <w:spacing w:line="240" w:lineRule="auto"/>
        <w:jc w:val="both"/>
      </w:pPr>
      <w:r w:rsidRPr="003963C2">
        <w:t xml:space="preserve">Doporučujeme brát zvláštní zřetel na ty části maturitní zkoušky, které mají písemnou formu, tedy zejména na písemnou práci z českého a cizího jazyka. Zde by pro potenciální přezkumné řízení mělo být zdokumentováno </w:t>
      </w:r>
      <w:r w:rsidR="0076526D">
        <w:t xml:space="preserve">mimo uzpůsobení „procesního charakteru“ především </w:t>
      </w:r>
      <w:r w:rsidRPr="003963C2">
        <w:t xml:space="preserve">„odlišné hodnocení“ </w:t>
      </w:r>
      <w:r w:rsidR="002309FF">
        <w:t>(</w:t>
      </w:r>
      <w:r w:rsidRPr="003963C2">
        <w:t>viz výše</w:t>
      </w:r>
      <w:r w:rsidR="002309FF">
        <w:t>)</w:t>
      </w:r>
      <w:r w:rsidRPr="003963C2">
        <w:t xml:space="preserve">. </w:t>
      </w:r>
      <w:r w:rsidR="00423151" w:rsidRPr="003963C2">
        <w:t>Tedy proč bylo či nebylo doporučení k uzpůsobení podmínek konání písemné maturitní zkoušky aplikováno, jak bylo či nebylo zohledněno a proč</w:t>
      </w:r>
      <w:r w:rsidR="0056232D">
        <w:t>;</w:t>
      </w:r>
      <w:r w:rsidR="0056232D" w:rsidRPr="003963C2">
        <w:t xml:space="preserve"> </w:t>
      </w:r>
      <w:r w:rsidR="00423151" w:rsidRPr="003963C2">
        <w:t>to vše navázáno na konkrétní písemnou práci s uvedením konkrétních případů.</w:t>
      </w:r>
    </w:p>
    <w:p w14:paraId="38B5D402" w14:textId="77777777" w:rsidR="00164670" w:rsidRDefault="00164670" w:rsidP="00DC675C">
      <w:pPr>
        <w:spacing w:line="240" w:lineRule="auto"/>
        <w:jc w:val="both"/>
      </w:pPr>
    </w:p>
    <w:p w14:paraId="34F1E064" w14:textId="556D2898" w:rsidR="0029739C" w:rsidRPr="008C0DB1" w:rsidRDefault="005B6B23" w:rsidP="00DC675C">
      <w:pPr>
        <w:spacing w:line="240" w:lineRule="auto"/>
        <w:jc w:val="both"/>
        <w:rPr>
          <w:b/>
          <w:sz w:val="24"/>
          <w:szCs w:val="24"/>
        </w:rPr>
      </w:pPr>
      <w:r w:rsidRPr="008C0DB1">
        <w:rPr>
          <w:b/>
          <w:sz w:val="24"/>
          <w:szCs w:val="24"/>
        </w:rPr>
        <w:t>Protokoly</w:t>
      </w:r>
      <w:r w:rsidR="00743A2A" w:rsidRPr="008C0DB1">
        <w:rPr>
          <w:b/>
          <w:sz w:val="24"/>
          <w:szCs w:val="24"/>
        </w:rPr>
        <w:t xml:space="preserve"> a další dokumentace</w:t>
      </w:r>
    </w:p>
    <w:p w14:paraId="43315249" w14:textId="4C3C8C19" w:rsidR="00136E9A" w:rsidRDefault="00136E9A" w:rsidP="00DC675C">
      <w:pPr>
        <w:pStyle w:val="xmsonormal"/>
        <w:shd w:val="clear" w:color="auto" w:fill="FFFFFF"/>
        <w:spacing w:before="0" w:beforeAutospacing="0" w:after="200" w:afterAutospacing="0"/>
        <w:jc w:val="both"/>
        <w:rPr>
          <w:rFonts w:asciiTheme="minorHAnsi" w:hAnsiTheme="minorHAnsi"/>
          <w:color w:val="201F1E"/>
          <w:sz w:val="22"/>
          <w:szCs w:val="22"/>
          <w:bdr w:val="none" w:sz="0" w:space="0" w:color="auto" w:frame="1"/>
        </w:rPr>
      </w:pPr>
      <w:r>
        <w:rPr>
          <w:rFonts w:asciiTheme="minorHAnsi" w:hAnsiTheme="minorHAnsi"/>
          <w:color w:val="201F1E"/>
          <w:sz w:val="22"/>
          <w:szCs w:val="22"/>
          <w:bdr w:val="none" w:sz="0" w:space="0" w:color="auto" w:frame="1"/>
        </w:rPr>
        <w:t>Je třeba, aby k</w:t>
      </w:r>
      <w:r w:rsidRPr="00136E9A">
        <w:rPr>
          <w:rFonts w:asciiTheme="minorHAnsi" w:hAnsiTheme="minorHAnsi"/>
          <w:color w:val="201F1E"/>
          <w:sz w:val="22"/>
          <w:szCs w:val="22"/>
          <w:bdr w:val="none" w:sz="0" w:space="0" w:color="auto" w:frame="1"/>
        </w:rPr>
        <w:t>aždá jednotlivá maturitní zkouška byla písemně zdokumentována způsobem předpokládaným v ustanoveních vyhlášky č. 177/2009</w:t>
      </w:r>
      <w:r>
        <w:rPr>
          <w:rFonts w:asciiTheme="minorHAnsi" w:hAnsiTheme="minorHAnsi"/>
          <w:color w:val="201F1E"/>
          <w:sz w:val="22"/>
          <w:szCs w:val="22"/>
          <w:bdr w:val="none" w:sz="0" w:space="0" w:color="auto" w:frame="1"/>
        </w:rPr>
        <w:t xml:space="preserve"> </w:t>
      </w:r>
      <w:r w:rsidRPr="00136E9A">
        <w:rPr>
          <w:rFonts w:asciiTheme="minorHAnsi" w:hAnsiTheme="minorHAnsi"/>
          <w:color w:val="201F1E"/>
          <w:sz w:val="22"/>
          <w:szCs w:val="22"/>
          <w:bdr w:val="none" w:sz="0" w:space="0" w:color="auto" w:frame="1"/>
        </w:rPr>
        <w:t xml:space="preserve">Sb. </w:t>
      </w:r>
    </w:p>
    <w:p w14:paraId="097C934F" w14:textId="7CCD42B7" w:rsidR="00136E9A" w:rsidRDefault="00897C7A" w:rsidP="00DC675C">
      <w:pPr>
        <w:pStyle w:val="xmsonormal"/>
        <w:shd w:val="clear" w:color="auto" w:fill="FFFFFF"/>
        <w:spacing w:after="200" w:afterAutospacing="0"/>
        <w:jc w:val="both"/>
        <w:rPr>
          <w:rFonts w:asciiTheme="minorHAnsi" w:hAnsiTheme="minorHAnsi"/>
          <w:color w:val="201F1E"/>
          <w:sz w:val="22"/>
          <w:szCs w:val="22"/>
          <w:bdr w:val="none" w:sz="0" w:space="0" w:color="auto" w:frame="1"/>
        </w:rPr>
      </w:pPr>
      <w:r>
        <w:rPr>
          <w:rFonts w:asciiTheme="minorHAnsi" w:hAnsiTheme="minorHAnsi"/>
          <w:color w:val="201F1E"/>
          <w:sz w:val="22"/>
          <w:szCs w:val="22"/>
          <w:bdr w:val="none" w:sz="0" w:space="0" w:color="auto" w:frame="1"/>
        </w:rPr>
        <w:t>Nad rámec protokolů</w:t>
      </w:r>
      <w:r w:rsidRPr="00897C7A">
        <w:rPr>
          <w:rFonts w:asciiTheme="minorHAnsi" w:hAnsiTheme="minorHAnsi"/>
          <w:color w:val="201F1E"/>
          <w:sz w:val="22"/>
          <w:szCs w:val="22"/>
          <w:bdr w:val="none" w:sz="0" w:space="0" w:color="auto" w:frame="1"/>
        </w:rPr>
        <w:t xml:space="preserve">, z důvodu potenciálního přezkumného řízení, </w:t>
      </w:r>
      <w:r>
        <w:rPr>
          <w:rFonts w:asciiTheme="minorHAnsi" w:hAnsiTheme="minorHAnsi"/>
          <w:color w:val="201F1E"/>
          <w:sz w:val="22"/>
          <w:szCs w:val="22"/>
          <w:bdr w:val="none" w:sz="0" w:space="0" w:color="auto" w:frame="1"/>
        </w:rPr>
        <w:t>doporučujeme</w:t>
      </w:r>
      <w:r w:rsidRPr="00897C7A">
        <w:rPr>
          <w:rFonts w:asciiTheme="minorHAnsi" w:hAnsiTheme="minorHAnsi"/>
          <w:color w:val="201F1E"/>
          <w:sz w:val="22"/>
          <w:szCs w:val="22"/>
          <w:bdr w:val="none" w:sz="0" w:space="0" w:color="auto" w:frame="1"/>
        </w:rPr>
        <w:t>, aby každá část maturitní zkoušky byla písemně či jinak zdokumentována co do průběhu i obsahu</w:t>
      </w:r>
      <w:r>
        <w:rPr>
          <w:rFonts w:asciiTheme="minorHAnsi" w:hAnsiTheme="minorHAnsi"/>
          <w:color w:val="201F1E"/>
          <w:sz w:val="22"/>
          <w:szCs w:val="22"/>
          <w:bdr w:val="none" w:sz="0" w:space="0" w:color="auto" w:frame="1"/>
        </w:rPr>
        <w:t xml:space="preserve"> (</w:t>
      </w:r>
      <w:r w:rsidRPr="00897C7A">
        <w:rPr>
          <w:rFonts w:asciiTheme="minorHAnsi" w:hAnsiTheme="minorHAnsi"/>
          <w:color w:val="201F1E"/>
          <w:sz w:val="22"/>
          <w:szCs w:val="22"/>
          <w:bdr w:val="none" w:sz="0" w:space="0" w:color="auto" w:frame="1"/>
        </w:rPr>
        <w:t>tedy co bylo či nebylo řečeno, provedeno, co bylo či nebylo napsáno</w:t>
      </w:r>
      <w:r>
        <w:rPr>
          <w:rFonts w:asciiTheme="minorHAnsi" w:hAnsiTheme="minorHAnsi"/>
          <w:color w:val="201F1E"/>
          <w:sz w:val="22"/>
          <w:szCs w:val="22"/>
          <w:bdr w:val="none" w:sz="0" w:space="0" w:color="auto" w:frame="1"/>
        </w:rPr>
        <w:t>)</w:t>
      </w:r>
      <w:r w:rsidRPr="00897C7A">
        <w:rPr>
          <w:rFonts w:asciiTheme="minorHAnsi" w:hAnsiTheme="minorHAnsi"/>
          <w:color w:val="201F1E"/>
          <w:sz w:val="22"/>
          <w:szCs w:val="22"/>
          <w:bdr w:val="none" w:sz="0" w:space="0" w:color="auto" w:frame="1"/>
        </w:rPr>
        <w:t>, tak do hodnocení jednotlivých výkonů žáka zkoušejícím, přísedícím</w:t>
      </w:r>
      <w:r w:rsidR="0056232D">
        <w:rPr>
          <w:rFonts w:asciiTheme="minorHAnsi" w:hAnsiTheme="minorHAnsi"/>
          <w:color w:val="201F1E"/>
          <w:sz w:val="22"/>
          <w:szCs w:val="22"/>
          <w:bdr w:val="none" w:sz="0" w:space="0" w:color="auto" w:frame="1"/>
        </w:rPr>
        <w:t>,</w:t>
      </w:r>
      <w:r w:rsidRPr="00897C7A">
        <w:rPr>
          <w:rFonts w:asciiTheme="minorHAnsi" w:hAnsiTheme="minorHAnsi"/>
          <w:color w:val="201F1E"/>
          <w:sz w:val="22"/>
          <w:szCs w:val="22"/>
          <w:bdr w:val="none" w:sz="0" w:space="0" w:color="auto" w:frame="1"/>
        </w:rPr>
        <w:t xml:space="preserve"> potažmo celou zkušební komisí. </w:t>
      </w:r>
      <w:r w:rsidR="00350757" w:rsidRPr="00350757">
        <w:rPr>
          <w:rFonts w:asciiTheme="minorHAnsi" w:hAnsiTheme="minorHAnsi"/>
          <w:b/>
          <w:bCs/>
          <w:color w:val="201F1E"/>
          <w:sz w:val="22"/>
          <w:szCs w:val="22"/>
          <w:bdr w:val="none" w:sz="0" w:space="0" w:color="auto" w:frame="1"/>
        </w:rPr>
        <w:t>A</w:t>
      </w:r>
      <w:r w:rsidR="00350757">
        <w:rPr>
          <w:rFonts w:asciiTheme="minorHAnsi" w:hAnsiTheme="minorHAnsi"/>
          <w:color w:val="201F1E"/>
          <w:sz w:val="22"/>
          <w:szCs w:val="22"/>
          <w:bdr w:val="none" w:sz="0" w:space="0" w:color="auto" w:frame="1"/>
        </w:rPr>
        <w:t xml:space="preserve"> </w:t>
      </w:r>
      <w:r w:rsidR="00350757">
        <w:rPr>
          <w:rFonts w:asciiTheme="minorHAnsi" w:hAnsiTheme="minorHAnsi"/>
          <w:b/>
          <w:color w:val="201F1E"/>
          <w:sz w:val="22"/>
          <w:szCs w:val="22"/>
          <w:bdr w:val="none" w:sz="0" w:space="0" w:color="auto" w:frame="1"/>
        </w:rPr>
        <w:t>to</w:t>
      </w:r>
      <w:r w:rsidRPr="00282098">
        <w:rPr>
          <w:rFonts w:asciiTheme="minorHAnsi" w:hAnsiTheme="minorHAnsi"/>
          <w:b/>
          <w:color w:val="201F1E"/>
          <w:sz w:val="22"/>
          <w:szCs w:val="22"/>
          <w:bdr w:val="none" w:sz="0" w:space="0" w:color="auto" w:frame="1"/>
        </w:rPr>
        <w:t xml:space="preserve"> zvláště v případě hodnocení známkou „nedostatečná“ </w:t>
      </w:r>
      <w:r w:rsidR="00350757" w:rsidRPr="00282098">
        <w:rPr>
          <w:rFonts w:asciiTheme="minorHAnsi" w:hAnsiTheme="minorHAnsi"/>
          <w:b/>
          <w:color w:val="201F1E"/>
          <w:sz w:val="22"/>
          <w:szCs w:val="22"/>
          <w:bdr w:val="none" w:sz="0" w:space="0" w:color="auto" w:frame="1"/>
        </w:rPr>
        <w:t>č</w:t>
      </w:r>
      <w:r w:rsidR="00350757">
        <w:rPr>
          <w:rFonts w:asciiTheme="minorHAnsi" w:hAnsiTheme="minorHAnsi"/>
          <w:b/>
          <w:color w:val="201F1E"/>
          <w:sz w:val="22"/>
          <w:szCs w:val="22"/>
          <w:bdr w:val="none" w:sz="0" w:space="0" w:color="auto" w:frame="1"/>
        </w:rPr>
        <w:t>i</w:t>
      </w:r>
      <w:r w:rsidR="00350757" w:rsidRPr="00282098">
        <w:rPr>
          <w:rFonts w:asciiTheme="minorHAnsi" w:hAnsiTheme="minorHAnsi"/>
          <w:b/>
          <w:color w:val="201F1E"/>
          <w:sz w:val="22"/>
          <w:szCs w:val="22"/>
          <w:bdr w:val="none" w:sz="0" w:space="0" w:color="auto" w:frame="1"/>
        </w:rPr>
        <w:t xml:space="preserve"> </w:t>
      </w:r>
      <w:r w:rsidRPr="00282098">
        <w:rPr>
          <w:rFonts w:asciiTheme="minorHAnsi" w:hAnsiTheme="minorHAnsi"/>
          <w:b/>
          <w:color w:val="201F1E"/>
          <w:sz w:val="22"/>
          <w:szCs w:val="22"/>
          <w:bdr w:val="none" w:sz="0" w:space="0" w:color="auto" w:frame="1"/>
        </w:rPr>
        <w:t xml:space="preserve">v případě, kdy výkon žáka, </w:t>
      </w:r>
      <w:r w:rsidR="00E05A61">
        <w:rPr>
          <w:rFonts w:asciiTheme="minorHAnsi" w:hAnsiTheme="minorHAnsi"/>
          <w:b/>
          <w:color w:val="201F1E"/>
          <w:sz w:val="22"/>
          <w:szCs w:val="22"/>
          <w:bdr w:val="none" w:sz="0" w:space="0" w:color="auto" w:frame="1"/>
        </w:rPr>
        <w:t>resp.</w:t>
      </w:r>
      <w:r w:rsidRPr="00282098">
        <w:rPr>
          <w:rFonts w:asciiTheme="minorHAnsi" w:hAnsiTheme="minorHAnsi"/>
          <w:b/>
          <w:color w:val="201F1E"/>
          <w:sz w:val="22"/>
          <w:szCs w:val="22"/>
          <w:bdr w:val="none" w:sz="0" w:space="0" w:color="auto" w:frame="1"/>
        </w:rPr>
        <w:t xml:space="preserve"> jeho hodnocení u maturitní zkoušky „vybočuje z jeho standardu“ (</w:t>
      </w:r>
      <w:r w:rsidR="00E05A61">
        <w:rPr>
          <w:rFonts w:asciiTheme="minorHAnsi" w:hAnsiTheme="minorHAnsi"/>
          <w:b/>
          <w:color w:val="201F1E"/>
          <w:sz w:val="22"/>
          <w:szCs w:val="22"/>
          <w:bdr w:val="none" w:sz="0" w:space="0" w:color="auto" w:frame="1"/>
        </w:rPr>
        <w:t>např.</w:t>
      </w:r>
      <w:r w:rsidRPr="00282098">
        <w:rPr>
          <w:rFonts w:asciiTheme="minorHAnsi" w:hAnsiTheme="minorHAnsi"/>
          <w:b/>
          <w:color w:val="201F1E"/>
          <w:sz w:val="22"/>
          <w:szCs w:val="22"/>
          <w:bdr w:val="none" w:sz="0" w:space="0" w:color="auto" w:frame="1"/>
        </w:rPr>
        <w:t xml:space="preserve"> celé studium jedničkář, dvojkař a z maturitní zkoušky </w:t>
      </w:r>
      <w:r w:rsidR="0043691E">
        <w:rPr>
          <w:rFonts w:asciiTheme="minorHAnsi" w:hAnsiTheme="minorHAnsi"/>
          <w:b/>
          <w:color w:val="201F1E"/>
          <w:sz w:val="22"/>
          <w:szCs w:val="22"/>
          <w:bdr w:val="none" w:sz="0" w:space="0" w:color="auto" w:frame="1"/>
        </w:rPr>
        <w:t>byl hodnocen</w:t>
      </w:r>
      <w:r w:rsidRPr="00282098">
        <w:rPr>
          <w:rFonts w:asciiTheme="minorHAnsi" w:hAnsiTheme="minorHAnsi"/>
          <w:b/>
          <w:color w:val="201F1E"/>
          <w:sz w:val="22"/>
          <w:szCs w:val="22"/>
          <w:bdr w:val="none" w:sz="0" w:space="0" w:color="auto" w:frame="1"/>
        </w:rPr>
        <w:t xml:space="preserve"> „dostatečně“)</w:t>
      </w:r>
      <w:r w:rsidR="006B46F5">
        <w:rPr>
          <w:rFonts w:asciiTheme="minorHAnsi" w:hAnsiTheme="minorHAnsi"/>
          <w:b/>
          <w:color w:val="201F1E"/>
          <w:sz w:val="22"/>
          <w:szCs w:val="22"/>
          <w:bdr w:val="none" w:sz="0" w:space="0" w:color="auto" w:frame="1"/>
        </w:rPr>
        <w:t>. D</w:t>
      </w:r>
      <w:r w:rsidRPr="00282098">
        <w:rPr>
          <w:rFonts w:asciiTheme="minorHAnsi" w:hAnsiTheme="minorHAnsi"/>
          <w:b/>
          <w:color w:val="201F1E"/>
          <w:sz w:val="22"/>
          <w:szCs w:val="22"/>
          <w:bdr w:val="none" w:sz="0" w:space="0" w:color="auto" w:frame="1"/>
        </w:rPr>
        <w:t xml:space="preserve">oporučujeme, aby součástí </w:t>
      </w:r>
      <w:r w:rsidR="00744451">
        <w:rPr>
          <w:rFonts w:asciiTheme="minorHAnsi" w:hAnsiTheme="minorHAnsi"/>
          <w:b/>
          <w:color w:val="201F1E"/>
          <w:sz w:val="22"/>
          <w:szCs w:val="22"/>
          <w:bdr w:val="none" w:sz="0" w:space="0" w:color="auto" w:frame="1"/>
        </w:rPr>
        <w:t>podkladů k hodnocení</w:t>
      </w:r>
      <w:r w:rsidR="00744451" w:rsidRPr="00282098">
        <w:rPr>
          <w:rFonts w:asciiTheme="minorHAnsi" w:hAnsiTheme="minorHAnsi"/>
          <w:b/>
          <w:color w:val="201F1E"/>
          <w:sz w:val="22"/>
          <w:szCs w:val="22"/>
          <w:bdr w:val="none" w:sz="0" w:space="0" w:color="auto" w:frame="1"/>
        </w:rPr>
        <w:t xml:space="preserve"> </w:t>
      </w:r>
      <w:r w:rsidRPr="00282098">
        <w:rPr>
          <w:rFonts w:asciiTheme="minorHAnsi" w:hAnsiTheme="minorHAnsi"/>
          <w:b/>
          <w:color w:val="201F1E"/>
          <w:sz w:val="22"/>
          <w:szCs w:val="22"/>
          <w:bdr w:val="none" w:sz="0" w:space="0" w:color="auto" w:frame="1"/>
        </w:rPr>
        <w:t xml:space="preserve">byly detailní poznámky zkoušejícího a přísedícího (v případě písemných forem prací pak poznámky </w:t>
      </w:r>
      <w:r w:rsidR="001F54C9" w:rsidRPr="00282098">
        <w:rPr>
          <w:rFonts w:asciiTheme="minorHAnsi" w:hAnsiTheme="minorHAnsi"/>
          <w:b/>
          <w:color w:val="201F1E"/>
          <w:sz w:val="22"/>
          <w:szCs w:val="22"/>
          <w:bdr w:val="none" w:sz="0" w:space="0" w:color="auto" w:frame="1"/>
        </w:rPr>
        <w:t>hodnot</w:t>
      </w:r>
      <w:r w:rsidR="001F54C9">
        <w:rPr>
          <w:rFonts w:asciiTheme="minorHAnsi" w:hAnsiTheme="minorHAnsi"/>
          <w:b/>
          <w:color w:val="201F1E"/>
          <w:sz w:val="22"/>
          <w:szCs w:val="22"/>
          <w:bdr w:val="none" w:sz="0" w:space="0" w:color="auto" w:frame="1"/>
        </w:rPr>
        <w:t>ícího</w:t>
      </w:r>
      <w:r w:rsidRPr="00282098">
        <w:rPr>
          <w:rFonts w:asciiTheme="minorHAnsi" w:hAnsiTheme="minorHAnsi"/>
          <w:b/>
          <w:color w:val="201F1E"/>
          <w:sz w:val="22"/>
          <w:szCs w:val="22"/>
          <w:bdr w:val="none" w:sz="0" w:space="0" w:color="auto" w:frame="1"/>
        </w:rPr>
        <w:t>)</w:t>
      </w:r>
      <w:r w:rsidR="006752E7">
        <w:rPr>
          <w:rFonts w:asciiTheme="minorHAnsi" w:hAnsiTheme="minorHAnsi"/>
          <w:b/>
          <w:color w:val="201F1E"/>
          <w:sz w:val="22"/>
          <w:szCs w:val="22"/>
          <w:bdr w:val="none" w:sz="0" w:space="0" w:color="auto" w:frame="1"/>
        </w:rPr>
        <w:t>,</w:t>
      </w:r>
      <w:r w:rsidR="000C0886">
        <w:rPr>
          <w:rFonts w:asciiTheme="minorHAnsi" w:hAnsiTheme="minorHAnsi"/>
          <w:b/>
          <w:color w:val="201F1E"/>
          <w:sz w:val="22"/>
          <w:szCs w:val="22"/>
          <w:bdr w:val="none" w:sz="0" w:space="0" w:color="auto" w:frame="1"/>
        </w:rPr>
        <w:t xml:space="preserve"> odůvodnění</w:t>
      </w:r>
      <w:r w:rsidR="00891591">
        <w:rPr>
          <w:rFonts w:asciiTheme="minorHAnsi" w:hAnsiTheme="minorHAnsi"/>
          <w:b/>
          <w:color w:val="201F1E"/>
          <w:sz w:val="22"/>
          <w:szCs w:val="22"/>
          <w:bdr w:val="none" w:sz="0" w:space="0" w:color="auto" w:frame="1"/>
        </w:rPr>
        <w:t xml:space="preserve"> apod</w:t>
      </w:r>
      <w:r w:rsidR="00C52B15">
        <w:rPr>
          <w:rFonts w:asciiTheme="minorHAnsi" w:hAnsiTheme="minorHAnsi"/>
          <w:b/>
          <w:color w:val="201F1E"/>
          <w:sz w:val="22"/>
          <w:szCs w:val="22"/>
          <w:bdr w:val="none" w:sz="0" w:space="0" w:color="auto" w:frame="1"/>
        </w:rPr>
        <w:t>.</w:t>
      </w:r>
      <w:r w:rsidR="000C0886">
        <w:rPr>
          <w:rFonts w:asciiTheme="minorHAnsi" w:hAnsiTheme="minorHAnsi"/>
          <w:b/>
          <w:color w:val="201F1E"/>
          <w:sz w:val="22"/>
          <w:szCs w:val="22"/>
          <w:bdr w:val="none" w:sz="0" w:space="0" w:color="auto" w:frame="1"/>
        </w:rPr>
        <w:t xml:space="preserve"> </w:t>
      </w:r>
      <w:r w:rsidRPr="00897C7A">
        <w:rPr>
          <w:rFonts w:asciiTheme="minorHAnsi" w:hAnsiTheme="minorHAnsi"/>
          <w:color w:val="201F1E"/>
          <w:sz w:val="22"/>
          <w:szCs w:val="22"/>
          <w:bdr w:val="none" w:sz="0" w:space="0" w:color="auto" w:frame="1"/>
        </w:rPr>
        <w:t>Důvodem je skutečnost, že „přezkum“ je často realizován s určitým časovým odstupem. Smyslem přezkumného řízení je ověřit, zda byl dodržen právní rámec dané zkoušky a zda hodnocení žáka odpovídalo předem nastaveným kritériím.</w:t>
      </w:r>
    </w:p>
    <w:p w14:paraId="1911C92C" w14:textId="4BCDD6B2" w:rsidR="00334980" w:rsidRPr="00E07055" w:rsidRDefault="00F27FD9" w:rsidP="00DC675C">
      <w:pPr>
        <w:pStyle w:val="xmsonormal"/>
        <w:shd w:val="clear" w:color="auto" w:fill="FFFFFF"/>
        <w:spacing w:before="0" w:beforeAutospacing="0" w:after="200" w:afterAutospacing="0"/>
        <w:jc w:val="both"/>
        <w:rPr>
          <w:rFonts w:asciiTheme="minorHAnsi" w:hAnsiTheme="minorHAnsi"/>
          <w:color w:val="201F1E"/>
          <w:sz w:val="22"/>
          <w:szCs w:val="22"/>
        </w:rPr>
      </w:pPr>
      <w:r>
        <w:rPr>
          <w:rFonts w:asciiTheme="minorHAnsi" w:hAnsiTheme="minorHAnsi"/>
          <w:color w:val="201F1E"/>
          <w:sz w:val="22"/>
          <w:szCs w:val="22"/>
          <w:bdr w:val="none" w:sz="0" w:space="0" w:color="auto" w:frame="1"/>
        </w:rPr>
        <w:t xml:space="preserve">U výše uvedeného </w:t>
      </w:r>
      <w:r w:rsidR="00897C7A">
        <w:rPr>
          <w:rFonts w:asciiTheme="minorHAnsi" w:hAnsiTheme="minorHAnsi"/>
          <w:color w:val="201F1E"/>
          <w:sz w:val="22"/>
          <w:szCs w:val="22"/>
          <w:bdr w:val="none" w:sz="0" w:space="0" w:color="auto" w:frame="1"/>
        </w:rPr>
        <w:t xml:space="preserve">doporučení </w:t>
      </w:r>
      <w:r>
        <w:rPr>
          <w:rFonts w:asciiTheme="minorHAnsi" w:hAnsiTheme="minorHAnsi"/>
          <w:color w:val="201F1E"/>
          <w:sz w:val="22"/>
          <w:szCs w:val="22"/>
          <w:bdr w:val="none" w:sz="0" w:space="0" w:color="auto" w:frame="1"/>
        </w:rPr>
        <w:t>vycházíme i z názoru soudu</w:t>
      </w:r>
      <w:r w:rsidR="003B4ACB">
        <w:rPr>
          <w:rFonts w:asciiTheme="minorHAnsi" w:hAnsiTheme="minorHAnsi"/>
          <w:color w:val="201F1E"/>
          <w:sz w:val="22"/>
          <w:szCs w:val="22"/>
          <w:bdr w:val="none" w:sz="0" w:space="0" w:color="auto" w:frame="1"/>
        </w:rPr>
        <w:t xml:space="preserve"> obsaženého </w:t>
      </w:r>
      <w:r w:rsidR="00585D26">
        <w:rPr>
          <w:rFonts w:asciiTheme="minorHAnsi" w:hAnsiTheme="minorHAnsi"/>
          <w:color w:val="201F1E"/>
          <w:sz w:val="22"/>
          <w:szCs w:val="22"/>
          <w:bdr w:val="none" w:sz="0" w:space="0" w:color="auto" w:frame="1"/>
        </w:rPr>
        <w:t xml:space="preserve">v </w:t>
      </w:r>
      <w:r w:rsidR="00897C7A">
        <w:rPr>
          <w:rFonts w:asciiTheme="minorHAnsi" w:hAnsiTheme="minorHAnsi"/>
          <w:color w:val="201F1E"/>
          <w:sz w:val="22"/>
          <w:szCs w:val="22"/>
          <w:bdr w:val="none" w:sz="0" w:space="0" w:color="auto" w:frame="1"/>
        </w:rPr>
        <w:t>rozsudk</w:t>
      </w:r>
      <w:r w:rsidR="003B4ACB">
        <w:rPr>
          <w:rFonts w:asciiTheme="minorHAnsi" w:hAnsiTheme="minorHAnsi"/>
          <w:color w:val="201F1E"/>
          <w:sz w:val="22"/>
          <w:szCs w:val="22"/>
          <w:bdr w:val="none" w:sz="0" w:space="0" w:color="auto" w:frame="1"/>
        </w:rPr>
        <w:t>u</w:t>
      </w:r>
      <w:r w:rsidR="00897C7A">
        <w:rPr>
          <w:rFonts w:asciiTheme="minorHAnsi" w:hAnsiTheme="minorHAnsi"/>
          <w:color w:val="201F1E"/>
          <w:sz w:val="22"/>
          <w:szCs w:val="22"/>
          <w:bdr w:val="none" w:sz="0" w:space="0" w:color="auto" w:frame="1"/>
        </w:rPr>
        <w:t xml:space="preserve"> týkající</w:t>
      </w:r>
      <w:r w:rsidR="003B4ACB">
        <w:rPr>
          <w:rFonts w:asciiTheme="minorHAnsi" w:hAnsiTheme="minorHAnsi"/>
          <w:color w:val="201F1E"/>
          <w:sz w:val="22"/>
          <w:szCs w:val="22"/>
          <w:bdr w:val="none" w:sz="0" w:space="0" w:color="auto" w:frame="1"/>
        </w:rPr>
        <w:t>ho</w:t>
      </w:r>
      <w:r w:rsidR="00897C7A">
        <w:rPr>
          <w:rFonts w:asciiTheme="minorHAnsi" w:hAnsiTheme="minorHAnsi"/>
          <w:color w:val="201F1E"/>
          <w:sz w:val="22"/>
          <w:szCs w:val="22"/>
          <w:bdr w:val="none" w:sz="0" w:space="0" w:color="auto" w:frame="1"/>
        </w:rPr>
        <w:t xml:space="preserve"> se přezkumu maturitní zkoušky: „</w:t>
      </w:r>
      <w:r w:rsidR="00334980" w:rsidRPr="00897C7A">
        <w:rPr>
          <w:rFonts w:asciiTheme="minorHAnsi" w:hAnsiTheme="minorHAnsi"/>
          <w:i/>
          <w:color w:val="201F1E"/>
          <w:sz w:val="22"/>
          <w:szCs w:val="22"/>
          <w:bdr w:val="none" w:sz="0" w:space="0" w:color="auto" w:frame="1"/>
        </w:rPr>
        <w:t>Zde je nutno konstatovat, že zejména v situaci, kdy je práce vyhodnocena jako neúspěšná, by přesvědčivosti hodnocení prospělo, pokud by komentář k hodnocení byl poněkud košatější a např. poukazem na konkrétní chyby a nedostatky dotčenému studentovi fakticky umožnil na zjištěné vady práce do budoucna reagovat.</w:t>
      </w:r>
      <w:r w:rsidR="00897C7A">
        <w:rPr>
          <w:rFonts w:asciiTheme="minorHAnsi" w:hAnsiTheme="minorHAnsi"/>
          <w:color w:val="201F1E"/>
          <w:sz w:val="22"/>
          <w:szCs w:val="22"/>
          <w:bdr w:val="none" w:sz="0" w:space="0" w:color="auto" w:frame="1"/>
        </w:rPr>
        <w:t>“</w:t>
      </w:r>
      <w:r w:rsidR="00334980">
        <w:rPr>
          <w:rFonts w:asciiTheme="minorHAnsi" w:hAnsiTheme="minorHAnsi"/>
          <w:color w:val="201F1E"/>
          <w:sz w:val="22"/>
          <w:szCs w:val="22"/>
          <w:bdr w:val="none" w:sz="0" w:space="0" w:color="auto" w:frame="1"/>
        </w:rPr>
        <w:t xml:space="preserve"> </w:t>
      </w:r>
    </w:p>
    <w:p w14:paraId="13794D49" w14:textId="3EBB2E25" w:rsidR="003B394D" w:rsidRDefault="003963C2" w:rsidP="00DC675C">
      <w:pPr>
        <w:spacing w:line="240" w:lineRule="auto"/>
        <w:jc w:val="both"/>
      </w:pPr>
      <w:r w:rsidRPr="00282098">
        <w:rPr>
          <w:b/>
        </w:rPr>
        <w:t>Výše uvedené lze shrnout tak, že p</w:t>
      </w:r>
      <w:r w:rsidR="003B394D" w:rsidRPr="00282098">
        <w:rPr>
          <w:b/>
        </w:rPr>
        <w:t xml:space="preserve">ro potřeby </w:t>
      </w:r>
      <w:r w:rsidRPr="00282098">
        <w:rPr>
          <w:b/>
        </w:rPr>
        <w:t xml:space="preserve">potenciálního </w:t>
      </w:r>
      <w:r w:rsidR="003B394D" w:rsidRPr="00282098">
        <w:rPr>
          <w:b/>
        </w:rPr>
        <w:t xml:space="preserve">přezkumného řízení je podstatné, aby </w:t>
      </w:r>
      <w:r w:rsidR="00693AC2">
        <w:rPr>
          <w:b/>
        </w:rPr>
        <w:t>k dispozici bylo</w:t>
      </w:r>
      <w:r w:rsidR="003B394D" w:rsidRPr="00282098">
        <w:rPr>
          <w:b/>
        </w:rPr>
        <w:t xml:space="preserve"> co nejvíce relevantních podkladů, které prokazatelným způsobem</w:t>
      </w:r>
      <w:r w:rsidR="00585D26">
        <w:rPr>
          <w:b/>
        </w:rPr>
        <w:t xml:space="preserve"> a</w:t>
      </w:r>
      <w:r w:rsidR="00585D26" w:rsidRPr="00282098">
        <w:rPr>
          <w:b/>
        </w:rPr>
        <w:t xml:space="preserve"> </w:t>
      </w:r>
      <w:r w:rsidR="003B394D" w:rsidRPr="00282098">
        <w:rPr>
          <w:b/>
        </w:rPr>
        <w:t>v intencích platné legislativy</w:t>
      </w:r>
      <w:r w:rsidR="008058B3" w:rsidRPr="00282098">
        <w:rPr>
          <w:b/>
        </w:rPr>
        <w:t xml:space="preserve"> </w:t>
      </w:r>
      <w:r w:rsidR="00BD1447" w:rsidRPr="00282098">
        <w:rPr>
          <w:b/>
        </w:rPr>
        <w:t>(obecně zkoušku jako celek nelze nahrávat)</w:t>
      </w:r>
      <w:r w:rsidR="003B394D" w:rsidRPr="00282098">
        <w:rPr>
          <w:b/>
        </w:rPr>
        <w:t xml:space="preserve"> dokumentují výkon žáka u</w:t>
      </w:r>
      <w:r w:rsidR="009454DB">
        <w:rPr>
          <w:b/>
        </w:rPr>
        <w:t> </w:t>
      </w:r>
      <w:r w:rsidR="003B394D" w:rsidRPr="00282098">
        <w:rPr>
          <w:b/>
        </w:rPr>
        <w:t xml:space="preserve">předmětné zkoušky. </w:t>
      </w:r>
      <w:r w:rsidR="00132922">
        <w:rPr>
          <w:bCs/>
        </w:rPr>
        <w:t>(</w:t>
      </w:r>
      <w:r w:rsidR="003B394D">
        <w:t>Například zkouška probíhá na počítači, výkon žáka může být pro potřeby případného přezkumného řízení odpovídajícím způsobem zálohován. Součástí zkoušky je písemný projev žáka na tabuli, pro potřeby případného přezkumného řízení je možné učinit fotografickou dokumentaci jeho výkonu</w:t>
      </w:r>
      <w:r w:rsidR="001F7A39">
        <w:t xml:space="preserve"> promítnutou na tabuli</w:t>
      </w:r>
      <w:r w:rsidR="0076526D">
        <w:t xml:space="preserve"> atd.</w:t>
      </w:r>
      <w:r w:rsidR="00132922">
        <w:t>).</w:t>
      </w:r>
    </w:p>
    <w:p w14:paraId="5B8868DB" w14:textId="2B66BC13" w:rsidR="000D7514" w:rsidRPr="009F0D32" w:rsidRDefault="003963C2" w:rsidP="00DC675C">
      <w:pPr>
        <w:spacing w:line="240" w:lineRule="auto"/>
        <w:jc w:val="both"/>
        <w:rPr>
          <w:b/>
          <w:bCs/>
        </w:rPr>
      </w:pPr>
      <w:r>
        <w:rPr>
          <w:b/>
          <w:bCs/>
        </w:rPr>
        <w:t>Závěrem upozorňujeme na to, že v</w:t>
      </w:r>
      <w:r w:rsidR="000D7514" w:rsidRPr="009F0D32">
        <w:rPr>
          <w:b/>
          <w:bCs/>
        </w:rPr>
        <w:t>e školním roce 2021/2022 dochází k zásadní legislativní změně dopadající na konání maturitních zkoušek, kdy bud</w:t>
      </w:r>
      <w:r w:rsidR="008C19CD">
        <w:rPr>
          <w:b/>
          <w:bCs/>
        </w:rPr>
        <w:t>e</w:t>
      </w:r>
      <w:r w:rsidR="000D7514" w:rsidRPr="009F0D32">
        <w:rPr>
          <w:b/>
          <w:bCs/>
        </w:rPr>
        <w:t xml:space="preserve"> na základě novely školského zákona č.</w:t>
      </w:r>
      <w:r w:rsidR="00257A66">
        <w:rPr>
          <w:b/>
          <w:bCs/>
        </w:rPr>
        <w:t> </w:t>
      </w:r>
      <w:r w:rsidR="000D7514" w:rsidRPr="009F0D32">
        <w:rPr>
          <w:b/>
          <w:bCs/>
        </w:rPr>
        <w:t xml:space="preserve">284/2020 Sb. </w:t>
      </w:r>
      <w:r w:rsidR="009E364B" w:rsidRPr="009F0D32">
        <w:rPr>
          <w:b/>
          <w:bCs/>
        </w:rPr>
        <w:t xml:space="preserve">písemná práce i ústní zkouška z českého jazyka a literatury </w:t>
      </w:r>
      <w:r w:rsidR="00704751" w:rsidRPr="009F0D32">
        <w:rPr>
          <w:b/>
          <w:bCs/>
        </w:rPr>
        <w:t xml:space="preserve">a z cizího jazyka součástí profilové části maturitní zkoušky. </w:t>
      </w:r>
      <w:r w:rsidR="00622689">
        <w:rPr>
          <w:b/>
          <w:bCs/>
        </w:rPr>
        <w:t xml:space="preserve">Způsob a kritéria hodnocení </w:t>
      </w:r>
      <w:r w:rsidR="002547B9">
        <w:rPr>
          <w:b/>
          <w:bCs/>
        </w:rPr>
        <w:t xml:space="preserve">tedy již dále </w:t>
      </w:r>
      <w:r w:rsidR="00622689">
        <w:rPr>
          <w:b/>
          <w:bCs/>
        </w:rPr>
        <w:t>nebudou nastavena centrálně</w:t>
      </w:r>
      <w:r w:rsidR="002547B9">
        <w:rPr>
          <w:b/>
          <w:bCs/>
        </w:rPr>
        <w:t xml:space="preserve">. </w:t>
      </w:r>
      <w:r w:rsidR="00704751" w:rsidRPr="009F0D32">
        <w:rPr>
          <w:b/>
          <w:bCs/>
        </w:rPr>
        <w:t xml:space="preserve">Výše uvedené poznatky je tak </w:t>
      </w:r>
      <w:r w:rsidR="00523CE7" w:rsidRPr="009F0D32">
        <w:rPr>
          <w:b/>
          <w:bCs/>
        </w:rPr>
        <w:t xml:space="preserve">třeba přiměřeně aplikovat i </w:t>
      </w:r>
      <w:r w:rsidR="00BC7A45" w:rsidRPr="009F0D32">
        <w:rPr>
          <w:b/>
          <w:bCs/>
        </w:rPr>
        <w:t>na tyto zkoušky.</w:t>
      </w:r>
    </w:p>
    <w:p w14:paraId="34F1E066" w14:textId="2DE61B82" w:rsidR="0029739C" w:rsidRDefault="00F50D89" w:rsidP="00DC675C">
      <w:pPr>
        <w:spacing w:line="240" w:lineRule="auto"/>
        <w:jc w:val="both"/>
      </w:pPr>
      <w:r>
        <w:t xml:space="preserve">Stejně tak lze </w:t>
      </w:r>
      <w:r w:rsidR="00A415FE">
        <w:t>uvedené poznatky přiměřeně aplikovat i na hodnocení závěrečných zkoušek</w:t>
      </w:r>
      <w:r w:rsidR="00E22CD3">
        <w:t xml:space="preserve"> a absolutorií</w:t>
      </w:r>
      <w:r w:rsidR="00A415FE">
        <w:t>.</w:t>
      </w:r>
    </w:p>
    <w:sectPr w:rsidR="0029739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33EC6D" w14:textId="77777777" w:rsidR="005532D6" w:rsidRDefault="005532D6" w:rsidP="00A56033">
      <w:pPr>
        <w:spacing w:after="0" w:line="240" w:lineRule="auto"/>
      </w:pPr>
      <w:r>
        <w:separator/>
      </w:r>
    </w:p>
  </w:endnote>
  <w:endnote w:type="continuationSeparator" w:id="0">
    <w:p w14:paraId="2C4492C4" w14:textId="77777777" w:rsidR="005532D6" w:rsidRDefault="005532D6" w:rsidP="00A56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28589668"/>
      <w:docPartObj>
        <w:docPartGallery w:val="Page Numbers (Bottom of Page)"/>
        <w:docPartUnique/>
      </w:docPartObj>
    </w:sdtPr>
    <w:sdtEndPr/>
    <w:sdtContent>
      <w:p w14:paraId="34F1E06B" w14:textId="77777777" w:rsidR="00A56033" w:rsidRDefault="00A56033">
        <w:pPr>
          <w:pStyle w:val="Zpat"/>
          <w:jc w:val="center"/>
        </w:pPr>
        <w:r>
          <w:fldChar w:fldCharType="begin"/>
        </w:r>
        <w:r>
          <w:instrText>PAGE   \* MERGEFORMAT</w:instrText>
        </w:r>
        <w:r>
          <w:fldChar w:fldCharType="separate"/>
        </w:r>
        <w:r w:rsidR="0076526D">
          <w:rPr>
            <w:noProof/>
          </w:rPr>
          <w:t>5</w:t>
        </w:r>
        <w:r>
          <w:fldChar w:fldCharType="end"/>
        </w:r>
      </w:p>
    </w:sdtContent>
  </w:sdt>
  <w:p w14:paraId="34F1E06C" w14:textId="77777777" w:rsidR="00A56033" w:rsidRDefault="00A560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5A9207" w14:textId="77777777" w:rsidR="005532D6" w:rsidRDefault="005532D6" w:rsidP="00A56033">
      <w:pPr>
        <w:spacing w:after="0" w:line="240" w:lineRule="auto"/>
      </w:pPr>
      <w:r>
        <w:separator/>
      </w:r>
    </w:p>
  </w:footnote>
  <w:footnote w:type="continuationSeparator" w:id="0">
    <w:p w14:paraId="3297FACA" w14:textId="77777777" w:rsidR="005532D6" w:rsidRDefault="005532D6" w:rsidP="00A560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C20928"/>
    <w:multiLevelType w:val="hybridMultilevel"/>
    <w:tmpl w:val="BFC6871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116701"/>
    <w:multiLevelType w:val="hybridMultilevel"/>
    <w:tmpl w:val="AE40685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3C16453"/>
    <w:multiLevelType w:val="hybridMultilevel"/>
    <w:tmpl w:val="8B48BEC2"/>
    <w:lvl w:ilvl="0" w:tplc="1F5C894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ED06BE0"/>
    <w:multiLevelType w:val="hybridMultilevel"/>
    <w:tmpl w:val="5A32A61E"/>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48216443"/>
    <w:multiLevelType w:val="hybridMultilevel"/>
    <w:tmpl w:val="C2889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006B58"/>
    <w:multiLevelType w:val="hybridMultilevel"/>
    <w:tmpl w:val="BB7AE5F6"/>
    <w:lvl w:ilvl="0" w:tplc="23B083B2">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1CF42FD"/>
    <w:multiLevelType w:val="hybridMultilevel"/>
    <w:tmpl w:val="545838C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637385F"/>
    <w:multiLevelType w:val="hybridMultilevel"/>
    <w:tmpl w:val="EFE265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67A569C"/>
    <w:multiLevelType w:val="hybridMultilevel"/>
    <w:tmpl w:val="C288924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AC92050"/>
    <w:multiLevelType w:val="hybridMultilevel"/>
    <w:tmpl w:val="6D5E306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7C0C2951"/>
    <w:multiLevelType w:val="hybridMultilevel"/>
    <w:tmpl w:val="A0DCA2D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E265566"/>
    <w:multiLevelType w:val="hybridMultilevel"/>
    <w:tmpl w:val="DBC246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7"/>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8"/>
  </w:num>
  <w:num w:numId="5">
    <w:abstractNumId w:val="0"/>
  </w:num>
  <w:num w:numId="6">
    <w:abstractNumId w:val="4"/>
  </w:num>
  <w:num w:numId="7">
    <w:abstractNumId w:val="11"/>
  </w:num>
  <w:num w:numId="8">
    <w:abstractNumId w:val="3"/>
  </w:num>
  <w:num w:numId="9">
    <w:abstractNumId w:val="10"/>
  </w:num>
  <w:num w:numId="10">
    <w:abstractNumId w:val="2"/>
  </w:num>
  <w:num w:numId="11">
    <w:abstractNumId w:val="5"/>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08"/>
  <w:hyphenationZone w:val="425"/>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2BBA"/>
    <w:rsid w:val="000168E4"/>
    <w:rsid w:val="00026952"/>
    <w:rsid w:val="00041EF7"/>
    <w:rsid w:val="00083345"/>
    <w:rsid w:val="0008467C"/>
    <w:rsid w:val="000847CC"/>
    <w:rsid w:val="000A033B"/>
    <w:rsid w:val="000A5CAA"/>
    <w:rsid w:val="000B15E7"/>
    <w:rsid w:val="000B268C"/>
    <w:rsid w:val="000B415F"/>
    <w:rsid w:val="000C0886"/>
    <w:rsid w:val="000C0F57"/>
    <w:rsid w:val="000C6641"/>
    <w:rsid w:val="000C7B83"/>
    <w:rsid w:val="000D1CF4"/>
    <w:rsid w:val="000D6FCC"/>
    <w:rsid w:val="000D7514"/>
    <w:rsid w:val="000E24D1"/>
    <w:rsid w:val="000E41D9"/>
    <w:rsid w:val="000F1657"/>
    <w:rsid w:val="000F3A1D"/>
    <w:rsid w:val="000F4B83"/>
    <w:rsid w:val="000F60D4"/>
    <w:rsid w:val="001233FD"/>
    <w:rsid w:val="00132922"/>
    <w:rsid w:val="00136E9A"/>
    <w:rsid w:val="0014254F"/>
    <w:rsid w:val="0015136B"/>
    <w:rsid w:val="00151994"/>
    <w:rsid w:val="00153162"/>
    <w:rsid w:val="00153A4B"/>
    <w:rsid w:val="00164670"/>
    <w:rsid w:val="00165DD7"/>
    <w:rsid w:val="00170611"/>
    <w:rsid w:val="001812EF"/>
    <w:rsid w:val="00182F35"/>
    <w:rsid w:val="001977DE"/>
    <w:rsid w:val="001A0C38"/>
    <w:rsid w:val="001B084F"/>
    <w:rsid w:val="001B3931"/>
    <w:rsid w:val="001B78B0"/>
    <w:rsid w:val="001B7BD0"/>
    <w:rsid w:val="001E3A93"/>
    <w:rsid w:val="001E473A"/>
    <w:rsid w:val="001E60A9"/>
    <w:rsid w:val="001E6396"/>
    <w:rsid w:val="001F2F7C"/>
    <w:rsid w:val="001F54C9"/>
    <w:rsid w:val="001F7A39"/>
    <w:rsid w:val="00203FB5"/>
    <w:rsid w:val="0020551F"/>
    <w:rsid w:val="002170BD"/>
    <w:rsid w:val="00222325"/>
    <w:rsid w:val="00230893"/>
    <w:rsid w:val="002309FF"/>
    <w:rsid w:val="002547B9"/>
    <w:rsid w:val="002557D6"/>
    <w:rsid w:val="00256695"/>
    <w:rsid w:val="00257A66"/>
    <w:rsid w:val="00271B65"/>
    <w:rsid w:val="00272871"/>
    <w:rsid w:val="00277E88"/>
    <w:rsid w:val="0028177B"/>
    <w:rsid w:val="00282098"/>
    <w:rsid w:val="00292223"/>
    <w:rsid w:val="0029739C"/>
    <w:rsid w:val="002C3F58"/>
    <w:rsid w:val="002C7560"/>
    <w:rsid w:val="002D4B8C"/>
    <w:rsid w:val="002E5CC2"/>
    <w:rsid w:val="002E7F28"/>
    <w:rsid w:val="002F3D1C"/>
    <w:rsid w:val="002F4608"/>
    <w:rsid w:val="002F63F4"/>
    <w:rsid w:val="00301C4D"/>
    <w:rsid w:val="003150D6"/>
    <w:rsid w:val="00320BA9"/>
    <w:rsid w:val="00320CB7"/>
    <w:rsid w:val="00330C22"/>
    <w:rsid w:val="003342A3"/>
    <w:rsid w:val="00334980"/>
    <w:rsid w:val="00343D64"/>
    <w:rsid w:val="00345668"/>
    <w:rsid w:val="00350757"/>
    <w:rsid w:val="00356892"/>
    <w:rsid w:val="00373A92"/>
    <w:rsid w:val="0038023D"/>
    <w:rsid w:val="00382C69"/>
    <w:rsid w:val="00387D7E"/>
    <w:rsid w:val="003908EC"/>
    <w:rsid w:val="00393306"/>
    <w:rsid w:val="003963C2"/>
    <w:rsid w:val="003976E4"/>
    <w:rsid w:val="003A00C3"/>
    <w:rsid w:val="003B285C"/>
    <w:rsid w:val="003B394D"/>
    <w:rsid w:val="003B4ACB"/>
    <w:rsid w:val="003B5752"/>
    <w:rsid w:val="003C421B"/>
    <w:rsid w:val="003E4710"/>
    <w:rsid w:val="003F66E4"/>
    <w:rsid w:val="00407903"/>
    <w:rsid w:val="0041040C"/>
    <w:rsid w:val="00416528"/>
    <w:rsid w:val="00423151"/>
    <w:rsid w:val="004255E2"/>
    <w:rsid w:val="0043691E"/>
    <w:rsid w:val="00457B24"/>
    <w:rsid w:val="0046002F"/>
    <w:rsid w:val="004647AB"/>
    <w:rsid w:val="004704C7"/>
    <w:rsid w:val="0047154E"/>
    <w:rsid w:val="004760DA"/>
    <w:rsid w:val="0048516B"/>
    <w:rsid w:val="004912AB"/>
    <w:rsid w:val="00493358"/>
    <w:rsid w:val="004B48EF"/>
    <w:rsid w:val="004D14F7"/>
    <w:rsid w:val="004D66C5"/>
    <w:rsid w:val="004E5D88"/>
    <w:rsid w:val="0050223D"/>
    <w:rsid w:val="00514D45"/>
    <w:rsid w:val="00523CE7"/>
    <w:rsid w:val="005366D7"/>
    <w:rsid w:val="00540493"/>
    <w:rsid w:val="005532D6"/>
    <w:rsid w:val="00557DBA"/>
    <w:rsid w:val="0056232D"/>
    <w:rsid w:val="0057197C"/>
    <w:rsid w:val="00575306"/>
    <w:rsid w:val="00584582"/>
    <w:rsid w:val="00584688"/>
    <w:rsid w:val="00585D26"/>
    <w:rsid w:val="005A099F"/>
    <w:rsid w:val="005B6B23"/>
    <w:rsid w:val="005C3D1D"/>
    <w:rsid w:val="005E1A38"/>
    <w:rsid w:val="005F2107"/>
    <w:rsid w:val="005F3EA2"/>
    <w:rsid w:val="005F5C29"/>
    <w:rsid w:val="00605F83"/>
    <w:rsid w:val="006062EE"/>
    <w:rsid w:val="0061265B"/>
    <w:rsid w:val="00616820"/>
    <w:rsid w:val="00616B75"/>
    <w:rsid w:val="00622689"/>
    <w:rsid w:val="0063414E"/>
    <w:rsid w:val="006438C4"/>
    <w:rsid w:val="0065409C"/>
    <w:rsid w:val="00654C0B"/>
    <w:rsid w:val="006656BE"/>
    <w:rsid w:val="006752E7"/>
    <w:rsid w:val="0069239E"/>
    <w:rsid w:val="00693AC2"/>
    <w:rsid w:val="00694EA8"/>
    <w:rsid w:val="00695B0F"/>
    <w:rsid w:val="006A35B0"/>
    <w:rsid w:val="006B46F5"/>
    <w:rsid w:val="006B6FD9"/>
    <w:rsid w:val="006D1637"/>
    <w:rsid w:val="006D4D87"/>
    <w:rsid w:val="006E0DDB"/>
    <w:rsid w:val="006E120A"/>
    <w:rsid w:val="00704751"/>
    <w:rsid w:val="00710C70"/>
    <w:rsid w:val="0071254F"/>
    <w:rsid w:val="007177FE"/>
    <w:rsid w:val="00724025"/>
    <w:rsid w:val="00726776"/>
    <w:rsid w:val="007270F6"/>
    <w:rsid w:val="00732BF0"/>
    <w:rsid w:val="007369E0"/>
    <w:rsid w:val="00740875"/>
    <w:rsid w:val="0074097E"/>
    <w:rsid w:val="00743A2A"/>
    <w:rsid w:val="00744451"/>
    <w:rsid w:val="0076526D"/>
    <w:rsid w:val="00790B5E"/>
    <w:rsid w:val="00792C30"/>
    <w:rsid w:val="007A0834"/>
    <w:rsid w:val="007A15E7"/>
    <w:rsid w:val="007A6FC2"/>
    <w:rsid w:val="007B4A2B"/>
    <w:rsid w:val="007C241F"/>
    <w:rsid w:val="007D6665"/>
    <w:rsid w:val="007E604E"/>
    <w:rsid w:val="007E61C3"/>
    <w:rsid w:val="007E61E3"/>
    <w:rsid w:val="007E6746"/>
    <w:rsid w:val="007E6FE4"/>
    <w:rsid w:val="007F2539"/>
    <w:rsid w:val="007F2825"/>
    <w:rsid w:val="007F4324"/>
    <w:rsid w:val="008058B3"/>
    <w:rsid w:val="00807DCA"/>
    <w:rsid w:val="00821AEF"/>
    <w:rsid w:val="008305BC"/>
    <w:rsid w:val="00852BB4"/>
    <w:rsid w:val="008542C9"/>
    <w:rsid w:val="008566CE"/>
    <w:rsid w:val="0086035C"/>
    <w:rsid w:val="008611CF"/>
    <w:rsid w:val="00873061"/>
    <w:rsid w:val="00873DC1"/>
    <w:rsid w:val="008767FA"/>
    <w:rsid w:val="008805E4"/>
    <w:rsid w:val="00880DB9"/>
    <w:rsid w:val="00887400"/>
    <w:rsid w:val="00891591"/>
    <w:rsid w:val="0089261B"/>
    <w:rsid w:val="00897C7A"/>
    <w:rsid w:val="008A50F4"/>
    <w:rsid w:val="008A7CCE"/>
    <w:rsid w:val="008B5BF9"/>
    <w:rsid w:val="008B6072"/>
    <w:rsid w:val="008C0DB1"/>
    <w:rsid w:val="008C19CD"/>
    <w:rsid w:val="008D403B"/>
    <w:rsid w:val="008E6DAB"/>
    <w:rsid w:val="008E7E42"/>
    <w:rsid w:val="00917B49"/>
    <w:rsid w:val="00924DB6"/>
    <w:rsid w:val="00930E00"/>
    <w:rsid w:val="00931807"/>
    <w:rsid w:val="00934499"/>
    <w:rsid w:val="0094227F"/>
    <w:rsid w:val="009454DB"/>
    <w:rsid w:val="00946DED"/>
    <w:rsid w:val="0096779D"/>
    <w:rsid w:val="009679D5"/>
    <w:rsid w:val="009713C1"/>
    <w:rsid w:val="009737F7"/>
    <w:rsid w:val="009777FC"/>
    <w:rsid w:val="00981DB0"/>
    <w:rsid w:val="00994F4B"/>
    <w:rsid w:val="009A0F76"/>
    <w:rsid w:val="009B4124"/>
    <w:rsid w:val="009B5154"/>
    <w:rsid w:val="009C5E60"/>
    <w:rsid w:val="009E364B"/>
    <w:rsid w:val="009E36B0"/>
    <w:rsid w:val="009E4E95"/>
    <w:rsid w:val="009F0D32"/>
    <w:rsid w:val="00A0317F"/>
    <w:rsid w:val="00A047A0"/>
    <w:rsid w:val="00A059D6"/>
    <w:rsid w:val="00A06885"/>
    <w:rsid w:val="00A1371A"/>
    <w:rsid w:val="00A32CB0"/>
    <w:rsid w:val="00A4143C"/>
    <w:rsid w:val="00A415FE"/>
    <w:rsid w:val="00A56033"/>
    <w:rsid w:val="00A77CCF"/>
    <w:rsid w:val="00A84D82"/>
    <w:rsid w:val="00A85330"/>
    <w:rsid w:val="00A87222"/>
    <w:rsid w:val="00AA6A27"/>
    <w:rsid w:val="00AB044D"/>
    <w:rsid w:val="00AB0FDF"/>
    <w:rsid w:val="00AB556A"/>
    <w:rsid w:val="00AC0F7A"/>
    <w:rsid w:val="00AD069C"/>
    <w:rsid w:val="00AE0F89"/>
    <w:rsid w:val="00AF52B6"/>
    <w:rsid w:val="00AF5985"/>
    <w:rsid w:val="00B06418"/>
    <w:rsid w:val="00B128FC"/>
    <w:rsid w:val="00B242E4"/>
    <w:rsid w:val="00B246C2"/>
    <w:rsid w:val="00B2527A"/>
    <w:rsid w:val="00B3659C"/>
    <w:rsid w:val="00B36C50"/>
    <w:rsid w:val="00B46826"/>
    <w:rsid w:val="00B6764B"/>
    <w:rsid w:val="00B8184F"/>
    <w:rsid w:val="00B85331"/>
    <w:rsid w:val="00B87C2F"/>
    <w:rsid w:val="00B941D9"/>
    <w:rsid w:val="00BA59C6"/>
    <w:rsid w:val="00BB603B"/>
    <w:rsid w:val="00BB62AC"/>
    <w:rsid w:val="00BC2F46"/>
    <w:rsid w:val="00BC62FD"/>
    <w:rsid w:val="00BC7A45"/>
    <w:rsid w:val="00BD0E52"/>
    <w:rsid w:val="00BD1447"/>
    <w:rsid w:val="00BD2924"/>
    <w:rsid w:val="00BE131B"/>
    <w:rsid w:val="00BE2B49"/>
    <w:rsid w:val="00BF7154"/>
    <w:rsid w:val="00C004C6"/>
    <w:rsid w:val="00C07565"/>
    <w:rsid w:val="00C23475"/>
    <w:rsid w:val="00C25457"/>
    <w:rsid w:val="00C3468C"/>
    <w:rsid w:val="00C37459"/>
    <w:rsid w:val="00C52B15"/>
    <w:rsid w:val="00C6395B"/>
    <w:rsid w:val="00C80B2C"/>
    <w:rsid w:val="00C859DF"/>
    <w:rsid w:val="00C87C87"/>
    <w:rsid w:val="00C92409"/>
    <w:rsid w:val="00C94672"/>
    <w:rsid w:val="00CC0193"/>
    <w:rsid w:val="00CD4864"/>
    <w:rsid w:val="00CD78DA"/>
    <w:rsid w:val="00CE2BBA"/>
    <w:rsid w:val="00CE46D6"/>
    <w:rsid w:val="00CE6E7D"/>
    <w:rsid w:val="00CF0264"/>
    <w:rsid w:val="00D05507"/>
    <w:rsid w:val="00D36477"/>
    <w:rsid w:val="00D36D7C"/>
    <w:rsid w:val="00D4026A"/>
    <w:rsid w:val="00D42F22"/>
    <w:rsid w:val="00D55E54"/>
    <w:rsid w:val="00D64B14"/>
    <w:rsid w:val="00D660DB"/>
    <w:rsid w:val="00D6671B"/>
    <w:rsid w:val="00D74A48"/>
    <w:rsid w:val="00D77615"/>
    <w:rsid w:val="00DA090C"/>
    <w:rsid w:val="00DA0A7A"/>
    <w:rsid w:val="00DA4AB5"/>
    <w:rsid w:val="00DC2D01"/>
    <w:rsid w:val="00DC4EFD"/>
    <w:rsid w:val="00DC675C"/>
    <w:rsid w:val="00DD140D"/>
    <w:rsid w:val="00E00850"/>
    <w:rsid w:val="00E05A61"/>
    <w:rsid w:val="00E07055"/>
    <w:rsid w:val="00E11DAE"/>
    <w:rsid w:val="00E17ED5"/>
    <w:rsid w:val="00E2058A"/>
    <w:rsid w:val="00E21FB7"/>
    <w:rsid w:val="00E22CD3"/>
    <w:rsid w:val="00E32214"/>
    <w:rsid w:val="00E34A37"/>
    <w:rsid w:val="00E45785"/>
    <w:rsid w:val="00E472DD"/>
    <w:rsid w:val="00E51259"/>
    <w:rsid w:val="00E62EE4"/>
    <w:rsid w:val="00E664BD"/>
    <w:rsid w:val="00E72297"/>
    <w:rsid w:val="00E80BEC"/>
    <w:rsid w:val="00E871CA"/>
    <w:rsid w:val="00E9040E"/>
    <w:rsid w:val="00E947FE"/>
    <w:rsid w:val="00EA3A27"/>
    <w:rsid w:val="00EA6773"/>
    <w:rsid w:val="00EB10FE"/>
    <w:rsid w:val="00EC3B77"/>
    <w:rsid w:val="00EC6D4E"/>
    <w:rsid w:val="00ED77B4"/>
    <w:rsid w:val="00EE74EC"/>
    <w:rsid w:val="00EF6C9E"/>
    <w:rsid w:val="00F01FCC"/>
    <w:rsid w:val="00F06DAC"/>
    <w:rsid w:val="00F1135C"/>
    <w:rsid w:val="00F13AEE"/>
    <w:rsid w:val="00F177CF"/>
    <w:rsid w:val="00F20831"/>
    <w:rsid w:val="00F27FD9"/>
    <w:rsid w:val="00F34AAA"/>
    <w:rsid w:val="00F43824"/>
    <w:rsid w:val="00F4439F"/>
    <w:rsid w:val="00F4490E"/>
    <w:rsid w:val="00F50D89"/>
    <w:rsid w:val="00F54AD8"/>
    <w:rsid w:val="00F54B2C"/>
    <w:rsid w:val="00F645A1"/>
    <w:rsid w:val="00F71A7C"/>
    <w:rsid w:val="00F85F52"/>
    <w:rsid w:val="00F902B7"/>
    <w:rsid w:val="00F93884"/>
    <w:rsid w:val="00F95030"/>
    <w:rsid w:val="00F95339"/>
    <w:rsid w:val="00FD35F3"/>
    <w:rsid w:val="00FD4D9F"/>
    <w:rsid w:val="00FD52D5"/>
    <w:rsid w:val="00FE100A"/>
    <w:rsid w:val="00FE15FC"/>
    <w:rsid w:val="00FE359B"/>
    <w:rsid w:val="00FF64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F1E04D"/>
  <w15:docId w15:val="{F5A37FAD-C768-40A6-B39A-CE56A902D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CE2BBA"/>
    <w:rPr>
      <w:color w:val="0000FF" w:themeColor="hyperlink"/>
      <w:u w:val="single"/>
    </w:rPr>
  </w:style>
  <w:style w:type="paragraph" w:styleId="Odstavecseseznamem">
    <w:name w:val="List Paragraph"/>
    <w:basedOn w:val="Normln"/>
    <w:uiPriority w:val="34"/>
    <w:qFormat/>
    <w:rsid w:val="00AF5985"/>
    <w:pPr>
      <w:ind w:left="720"/>
      <w:contextualSpacing/>
    </w:pPr>
  </w:style>
  <w:style w:type="paragraph" w:styleId="Bezmezer">
    <w:name w:val="No Spacing"/>
    <w:uiPriority w:val="1"/>
    <w:qFormat/>
    <w:rsid w:val="00616820"/>
    <w:pPr>
      <w:spacing w:after="0" w:line="240" w:lineRule="auto"/>
    </w:pPr>
  </w:style>
  <w:style w:type="paragraph" w:styleId="Zhlav">
    <w:name w:val="header"/>
    <w:basedOn w:val="Normln"/>
    <w:link w:val="ZhlavChar"/>
    <w:uiPriority w:val="99"/>
    <w:unhideWhenUsed/>
    <w:rsid w:val="00A5603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A56033"/>
  </w:style>
  <w:style w:type="paragraph" w:styleId="Zpat">
    <w:name w:val="footer"/>
    <w:basedOn w:val="Normln"/>
    <w:link w:val="ZpatChar"/>
    <w:uiPriority w:val="99"/>
    <w:unhideWhenUsed/>
    <w:rsid w:val="00A56033"/>
    <w:pPr>
      <w:tabs>
        <w:tab w:val="center" w:pos="4536"/>
        <w:tab w:val="right" w:pos="9072"/>
      </w:tabs>
      <w:spacing w:after="0" w:line="240" w:lineRule="auto"/>
    </w:pPr>
  </w:style>
  <w:style w:type="character" w:customStyle="1" w:styleId="ZpatChar">
    <w:name w:val="Zápatí Char"/>
    <w:basedOn w:val="Standardnpsmoodstavce"/>
    <w:link w:val="Zpat"/>
    <w:uiPriority w:val="99"/>
    <w:rsid w:val="00A56033"/>
  </w:style>
  <w:style w:type="character" w:styleId="Odkaznakoment">
    <w:name w:val="annotation reference"/>
    <w:basedOn w:val="Standardnpsmoodstavce"/>
    <w:uiPriority w:val="99"/>
    <w:semiHidden/>
    <w:unhideWhenUsed/>
    <w:rsid w:val="00F85F52"/>
    <w:rPr>
      <w:sz w:val="16"/>
      <w:szCs w:val="16"/>
    </w:rPr>
  </w:style>
  <w:style w:type="paragraph" w:styleId="Textkomente">
    <w:name w:val="annotation text"/>
    <w:basedOn w:val="Normln"/>
    <w:link w:val="TextkomenteChar"/>
    <w:uiPriority w:val="99"/>
    <w:semiHidden/>
    <w:unhideWhenUsed/>
    <w:rsid w:val="00F85F52"/>
    <w:pPr>
      <w:spacing w:line="240" w:lineRule="auto"/>
    </w:pPr>
    <w:rPr>
      <w:sz w:val="20"/>
      <w:szCs w:val="20"/>
    </w:rPr>
  </w:style>
  <w:style w:type="character" w:customStyle="1" w:styleId="TextkomenteChar">
    <w:name w:val="Text komentáře Char"/>
    <w:basedOn w:val="Standardnpsmoodstavce"/>
    <w:link w:val="Textkomente"/>
    <w:uiPriority w:val="99"/>
    <w:semiHidden/>
    <w:rsid w:val="00F85F52"/>
    <w:rPr>
      <w:sz w:val="20"/>
      <w:szCs w:val="20"/>
    </w:rPr>
  </w:style>
  <w:style w:type="paragraph" w:styleId="Pedmtkomente">
    <w:name w:val="annotation subject"/>
    <w:basedOn w:val="Textkomente"/>
    <w:next w:val="Textkomente"/>
    <w:link w:val="PedmtkomenteChar"/>
    <w:uiPriority w:val="99"/>
    <w:semiHidden/>
    <w:unhideWhenUsed/>
    <w:rsid w:val="00F85F52"/>
    <w:rPr>
      <w:b/>
      <w:bCs/>
    </w:rPr>
  </w:style>
  <w:style w:type="character" w:customStyle="1" w:styleId="PedmtkomenteChar">
    <w:name w:val="Předmět komentáře Char"/>
    <w:basedOn w:val="TextkomenteChar"/>
    <w:link w:val="Pedmtkomente"/>
    <w:uiPriority w:val="99"/>
    <w:semiHidden/>
    <w:rsid w:val="00F85F52"/>
    <w:rPr>
      <w:b/>
      <w:bCs/>
      <w:sz w:val="20"/>
      <w:szCs w:val="20"/>
    </w:rPr>
  </w:style>
  <w:style w:type="paragraph" w:styleId="Textbubliny">
    <w:name w:val="Balloon Text"/>
    <w:basedOn w:val="Normln"/>
    <w:link w:val="TextbublinyChar"/>
    <w:uiPriority w:val="99"/>
    <w:semiHidden/>
    <w:unhideWhenUsed/>
    <w:rsid w:val="00F85F5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85F52"/>
    <w:rPr>
      <w:rFonts w:ascii="Segoe UI" w:hAnsi="Segoe UI" w:cs="Segoe UI"/>
      <w:sz w:val="18"/>
      <w:szCs w:val="18"/>
    </w:rPr>
  </w:style>
  <w:style w:type="paragraph" w:customStyle="1" w:styleId="xmsonormal">
    <w:name w:val="x_msonormal"/>
    <w:basedOn w:val="Normln"/>
    <w:rsid w:val="00981DB0"/>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83382">
      <w:bodyDiv w:val="1"/>
      <w:marLeft w:val="0"/>
      <w:marRight w:val="0"/>
      <w:marTop w:val="0"/>
      <w:marBottom w:val="0"/>
      <w:divBdr>
        <w:top w:val="none" w:sz="0" w:space="0" w:color="auto"/>
        <w:left w:val="none" w:sz="0" w:space="0" w:color="auto"/>
        <w:bottom w:val="none" w:sz="0" w:space="0" w:color="auto"/>
        <w:right w:val="none" w:sz="0" w:space="0" w:color="auto"/>
      </w:divBdr>
    </w:div>
    <w:div w:id="900291684">
      <w:bodyDiv w:val="1"/>
      <w:marLeft w:val="0"/>
      <w:marRight w:val="0"/>
      <w:marTop w:val="0"/>
      <w:marBottom w:val="0"/>
      <w:divBdr>
        <w:top w:val="none" w:sz="0" w:space="0" w:color="auto"/>
        <w:left w:val="none" w:sz="0" w:space="0" w:color="auto"/>
        <w:bottom w:val="none" w:sz="0" w:space="0" w:color="auto"/>
        <w:right w:val="none" w:sz="0" w:space="0" w:color="auto"/>
      </w:divBdr>
    </w:div>
    <w:div w:id="1038890733">
      <w:bodyDiv w:val="1"/>
      <w:marLeft w:val="0"/>
      <w:marRight w:val="0"/>
      <w:marTop w:val="0"/>
      <w:marBottom w:val="0"/>
      <w:divBdr>
        <w:top w:val="none" w:sz="0" w:space="0" w:color="auto"/>
        <w:left w:val="none" w:sz="0" w:space="0" w:color="auto"/>
        <w:bottom w:val="none" w:sz="0" w:space="0" w:color="auto"/>
        <w:right w:val="none" w:sz="0" w:space="0" w:color="auto"/>
      </w:divBdr>
    </w:div>
    <w:div w:id="1182667774">
      <w:bodyDiv w:val="1"/>
      <w:marLeft w:val="0"/>
      <w:marRight w:val="0"/>
      <w:marTop w:val="0"/>
      <w:marBottom w:val="0"/>
      <w:divBdr>
        <w:top w:val="none" w:sz="0" w:space="0" w:color="auto"/>
        <w:left w:val="none" w:sz="0" w:space="0" w:color="auto"/>
        <w:bottom w:val="none" w:sz="0" w:space="0" w:color="auto"/>
        <w:right w:val="none" w:sz="0" w:space="0" w:color="auto"/>
      </w:divBdr>
    </w:div>
    <w:div w:id="1265113889">
      <w:bodyDiv w:val="1"/>
      <w:marLeft w:val="0"/>
      <w:marRight w:val="0"/>
      <w:marTop w:val="0"/>
      <w:marBottom w:val="0"/>
      <w:divBdr>
        <w:top w:val="none" w:sz="0" w:space="0" w:color="auto"/>
        <w:left w:val="none" w:sz="0" w:space="0" w:color="auto"/>
        <w:bottom w:val="none" w:sz="0" w:space="0" w:color="auto"/>
        <w:right w:val="none" w:sz="0" w:space="0" w:color="auto"/>
      </w:divBdr>
    </w:div>
    <w:div w:id="1677882644">
      <w:bodyDiv w:val="1"/>
      <w:marLeft w:val="0"/>
      <w:marRight w:val="0"/>
      <w:marTop w:val="0"/>
      <w:marBottom w:val="0"/>
      <w:divBdr>
        <w:top w:val="none" w:sz="0" w:space="0" w:color="auto"/>
        <w:left w:val="none" w:sz="0" w:space="0" w:color="auto"/>
        <w:bottom w:val="none" w:sz="0" w:space="0" w:color="auto"/>
        <w:right w:val="none" w:sz="0" w:space="0" w:color="auto"/>
      </w:divBdr>
    </w:div>
    <w:div w:id="1789813280">
      <w:bodyDiv w:val="1"/>
      <w:marLeft w:val="0"/>
      <w:marRight w:val="0"/>
      <w:marTop w:val="0"/>
      <w:marBottom w:val="0"/>
      <w:divBdr>
        <w:top w:val="none" w:sz="0" w:space="0" w:color="auto"/>
        <w:left w:val="none" w:sz="0" w:space="0" w:color="auto"/>
        <w:bottom w:val="none" w:sz="0" w:space="0" w:color="auto"/>
        <w:right w:val="none" w:sz="0" w:space="0" w:color="auto"/>
      </w:divBdr>
    </w:div>
    <w:div w:id="179532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turita.cermat.cz/archiv-maturitni-zkousky/maturitni-zkouska-2019-archiv/kriteria-hodnoceni-2019-archi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BD9D9-2D43-49DC-8BEE-BD9D50FA0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4</Pages>
  <Words>1808</Words>
  <Characters>10672</Characters>
  <Application>Microsoft Office Word</Application>
  <DocSecurity>0</DocSecurity>
  <Lines>88</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pokus</dc:creator>
  <cp:lastModifiedBy>Hromková Marta</cp:lastModifiedBy>
  <cp:revision>111</cp:revision>
  <cp:lastPrinted>2022-02-09T07:48:00Z</cp:lastPrinted>
  <dcterms:created xsi:type="dcterms:W3CDTF">2022-02-09T07:14:00Z</dcterms:created>
  <dcterms:modified xsi:type="dcterms:W3CDTF">2022-02-23T12:36:00Z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90ebb53-23a2-471a-9c6e-17bd0d11311e_Enabled">
    <vt:lpwstr>True</vt:lpwstr>
  </property>
  <property fmtid="{D5CDD505-2E9C-101B-9397-08002B2CF9AE}" pid="3" name="MSIP_Label_690ebb53-23a2-471a-9c6e-17bd0d11311e_SiteId">
    <vt:lpwstr>418bc066-1b00-4aad-ad98-9ead95bb26a9</vt:lpwstr>
  </property>
  <property fmtid="{D5CDD505-2E9C-101B-9397-08002B2CF9AE}" pid="4" name="MSIP_Label_690ebb53-23a2-471a-9c6e-17bd0d11311e_Owner">
    <vt:lpwstr>HROMKOVA.MARTA@kr-jihomoravsky.cz</vt:lpwstr>
  </property>
  <property fmtid="{D5CDD505-2E9C-101B-9397-08002B2CF9AE}" pid="5" name="MSIP_Label_690ebb53-23a2-471a-9c6e-17bd0d11311e_SetDate">
    <vt:lpwstr>2022-02-02T08:25:39.6034276Z</vt:lpwstr>
  </property>
  <property fmtid="{D5CDD505-2E9C-101B-9397-08002B2CF9AE}" pid="6" name="MSIP_Label_690ebb53-23a2-471a-9c6e-17bd0d11311e_Name">
    <vt:lpwstr>Verejne</vt:lpwstr>
  </property>
  <property fmtid="{D5CDD505-2E9C-101B-9397-08002B2CF9AE}" pid="7" name="MSIP_Label_690ebb53-23a2-471a-9c6e-17bd0d11311e_Application">
    <vt:lpwstr>Microsoft Azure Information Protection</vt:lpwstr>
  </property>
  <property fmtid="{D5CDD505-2E9C-101B-9397-08002B2CF9AE}" pid="8" name="MSIP_Label_690ebb53-23a2-471a-9c6e-17bd0d11311e_Extended_MSFT_Method">
    <vt:lpwstr>Automatic</vt:lpwstr>
  </property>
  <property fmtid="{D5CDD505-2E9C-101B-9397-08002B2CF9AE}" pid="9" name="Sensitivity">
    <vt:lpwstr>Verejne</vt:lpwstr>
  </property>
</Properties>
</file>